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E87" w:rsidRPr="00116728" w:rsidRDefault="00D31E87" w:rsidP="00D0304D">
      <w:pPr>
        <w:spacing w:after="0" w:line="360" w:lineRule="auto"/>
        <w:jc w:val="both"/>
        <w:rPr>
          <w:rFonts w:ascii="Palatino Linotype" w:hAnsi="Palatino Linotype"/>
          <w:b/>
          <w:color w:val="000000" w:themeColor="text1"/>
          <w:sz w:val="24"/>
          <w:szCs w:val="24"/>
        </w:rPr>
      </w:pPr>
      <w:r w:rsidRPr="00116728">
        <w:rPr>
          <w:rFonts w:ascii="Palatino Linotype" w:hAnsi="Palatino Linotype"/>
          <w:b/>
          <w:color w:val="000000" w:themeColor="text1"/>
          <w:sz w:val="24"/>
          <w:szCs w:val="24"/>
        </w:rPr>
        <w:t xml:space="preserve">OPINIÓN PARTICULAR </w:t>
      </w:r>
      <w:r w:rsidR="00904DB2" w:rsidRPr="00116728">
        <w:rPr>
          <w:rFonts w:ascii="Palatino Linotype" w:hAnsi="Palatino Linotype"/>
          <w:b/>
          <w:color w:val="000000" w:themeColor="text1"/>
          <w:sz w:val="24"/>
          <w:szCs w:val="24"/>
        </w:rPr>
        <w:t xml:space="preserve">CONCURRENTE </w:t>
      </w:r>
      <w:r w:rsidRPr="00116728">
        <w:rPr>
          <w:rFonts w:ascii="Palatino Linotype" w:hAnsi="Palatino Linotype"/>
          <w:b/>
          <w:color w:val="000000" w:themeColor="text1"/>
          <w:sz w:val="24"/>
          <w:szCs w:val="24"/>
        </w:rPr>
        <w:t>DE</w:t>
      </w:r>
      <w:r w:rsidR="00904DB2" w:rsidRPr="00116728">
        <w:rPr>
          <w:rFonts w:ascii="Palatino Linotype" w:hAnsi="Palatino Linotype"/>
          <w:b/>
          <w:color w:val="000000" w:themeColor="text1"/>
          <w:sz w:val="24"/>
          <w:szCs w:val="24"/>
        </w:rPr>
        <w:t xml:space="preserve"> </w:t>
      </w:r>
      <w:r w:rsidRPr="00116728">
        <w:rPr>
          <w:rFonts w:ascii="Palatino Linotype" w:hAnsi="Palatino Linotype"/>
          <w:b/>
          <w:color w:val="000000" w:themeColor="text1"/>
          <w:sz w:val="24"/>
          <w:szCs w:val="24"/>
        </w:rPr>
        <w:t>L</w:t>
      </w:r>
      <w:r w:rsidR="00904DB2" w:rsidRPr="00116728">
        <w:rPr>
          <w:rFonts w:ascii="Palatino Linotype" w:hAnsi="Palatino Linotype"/>
          <w:b/>
          <w:color w:val="000000" w:themeColor="text1"/>
          <w:sz w:val="24"/>
          <w:szCs w:val="24"/>
        </w:rPr>
        <w:t>OS</w:t>
      </w:r>
      <w:r w:rsidRPr="00116728">
        <w:rPr>
          <w:rFonts w:ascii="Palatino Linotype" w:hAnsi="Palatino Linotype"/>
          <w:b/>
          <w:color w:val="000000" w:themeColor="text1"/>
          <w:sz w:val="24"/>
          <w:szCs w:val="24"/>
        </w:rPr>
        <w:t xml:space="preserve"> COMISIONADO</w:t>
      </w:r>
      <w:r w:rsidR="00904DB2" w:rsidRPr="00116728">
        <w:rPr>
          <w:rFonts w:ascii="Palatino Linotype" w:hAnsi="Palatino Linotype"/>
          <w:b/>
          <w:color w:val="000000" w:themeColor="text1"/>
          <w:sz w:val="24"/>
          <w:szCs w:val="24"/>
        </w:rPr>
        <w:t>S</w:t>
      </w:r>
      <w:r w:rsidRPr="00116728">
        <w:rPr>
          <w:rFonts w:ascii="Palatino Linotype" w:hAnsi="Palatino Linotype"/>
          <w:b/>
          <w:color w:val="000000" w:themeColor="text1"/>
          <w:sz w:val="24"/>
          <w:szCs w:val="24"/>
        </w:rPr>
        <w:t xml:space="preserve"> JOSÉ GUADALUPE LUNA HERNÁNDEZ</w:t>
      </w:r>
      <w:r w:rsidR="004223F0" w:rsidRPr="00116728">
        <w:rPr>
          <w:rFonts w:ascii="Palatino Linotype" w:hAnsi="Palatino Linotype"/>
          <w:b/>
          <w:color w:val="000000" w:themeColor="text1"/>
          <w:sz w:val="24"/>
          <w:szCs w:val="24"/>
        </w:rPr>
        <w:t xml:space="preserve"> Y LUIS GUSTAVO PARRA NORIEGA</w:t>
      </w:r>
      <w:r w:rsidRPr="00116728">
        <w:rPr>
          <w:rFonts w:ascii="Palatino Linotype" w:hAnsi="Palatino Linotype"/>
          <w:b/>
          <w:color w:val="000000" w:themeColor="text1"/>
          <w:sz w:val="24"/>
          <w:szCs w:val="24"/>
        </w:rPr>
        <w:t xml:space="preserve"> EN EL RECURSO DE REVISIÓN </w:t>
      </w:r>
      <w:r w:rsidR="00417695" w:rsidRPr="00116728">
        <w:rPr>
          <w:rFonts w:ascii="Palatino Linotype" w:hAnsi="Palatino Linotype"/>
          <w:b/>
          <w:color w:val="000000" w:themeColor="text1"/>
          <w:sz w:val="24"/>
          <w:szCs w:val="24"/>
        </w:rPr>
        <w:t>0</w:t>
      </w:r>
      <w:r w:rsidR="000255FF" w:rsidRPr="00116728">
        <w:rPr>
          <w:rFonts w:ascii="Palatino Linotype" w:hAnsi="Palatino Linotype"/>
          <w:b/>
          <w:color w:val="000000" w:themeColor="text1"/>
          <w:sz w:val="24"/>
          <w:szCs w:val="24"/>
        </w:rPr>
        <w:t>2684</w:t>
      </w:r>
      <w:r w:rsidR="0058108A" w:rsidRPr="00116728">
        <w:rPr>
          <w:rFonts w:ascii="Palatino Linotype" w:hAnsi="Palatino Linotype"/>
          <w:b/>
          <w:color w:val="000000" w:themeColor="text1"/>
          <w:sz w:val="24"/>
          <w:szCs w:val="24"/>
        </w:rPr>
        <w:t>/INFOEM/IP/RR/2018</w:t>
      </w:r>
      <w:r w:rsidRPr="00116728">
        <w:rPr>
          <w:rFonts w:ascii="Palatino Linotype" w:hAnsi="Palatino Linotype"/>
          <w:b/>
          <w:color w:val="000000" w:themeColor="text1"/>
          <w:sz w:val="24"/>
          <w:szCs w:val="24"/>
        </w:rPr>
        <w:t>.</w:t>
      </w:r>
    </w:p>
    <w:p w:rsidR="00612178" w:rsidRPr="00116728" w:rsidRDefault="00612178" w:rsidP="00D0304D">
      <w:pPr>
        <w:spacing w:after="0" w:line="360" w:lineRule="auto"/>
        <w:jc w:val="both"/>
        <w:rPr>
          <w:rFonts w:ascii="Palatino Linotype" w:hAnsi="Palatino Linotype"/>
          <w:b/>
          <w:color w:val="000000" w:themeColor="text1"/>
          <w:sz w:val="24"/>
          <w:szCs w:val="24"/>
        </w:rPr>
      </w:pPr>
    </w:p>
    <w:p w:rsidR="00116728" w:rsidRDefault="00D31E87" w:rsidP="00B4479E">
      <w:pPr>
        <w:spacing w:after="0" w:line="360" w:lineRule="auto"/>
        <w:jc w:val="both"/>
        <w:rPr>
          <w:rFonts w:ascii="Palatino Linotype" w:hAnsi="Palatino Linotype"/>
          <w:color w:val="000000" w:themeColor="text1"/>
          <w:sz w:val="24"/>
          <w:szCs w:val="24"/>
        </w:rPr>
      </w:pPr>
      <w:r w:rsidRPr="00116728">
        <w:rPr>
          <w:rFonts w:ascii="Palatino Linotype" w:hAnsi="Palatino Linotype"/>
          <w:b/>
          <w:color w:val="000000" w:themeColor="text1"/>
          <w:sz w:val="24"/>
          <w:szCs w:val="24"/>
        </w:rPr>
        <w:t>Resumen de la opinión</w:t>
      </w:r>
      <w:r w:rsidRPr="00116728">
        <w:rPr>
          <w:rFonts w:ascii="Palatino Linotype" w:hAnsi="Palatino Linotype"/>
          <w:color w:val="000000" w:themeColor="text1"/>
          <w:sz w:val="24"/>
          <w:szCs w:val="24"/>
        </w:rPr>
        <w:t xml:space="preserve">. </w:t>
      </w:r>
      <w:r w:rsidR="003D1315" w:rsidRPr="00116728">
        <w:rPr>
          <w:rFonts w:ascii="Palatino Linotype" w:hAnsi="Palatino Linotype"/>
          <w:color w:val="000000" w:themeColor="text1"/>
          <w:sz w:val="24"/>
          <w:szCs w:val="24"/>
        </w:rPr>
        <w:t xml:space="preserve">El fenómeno de la violencia sexual, </w:t>
      </w:r>
      <w:r w:rsidR="002F21B3" w:rsidRPr="00116728">
        <w:rPr>
          <w:rFonts w:ascii="Palatino Linotype" w:hAnsi="Palatino Linotype"/>
          <w:color w:val="000000" w:themeColor="text1"/>
          <w:sz w:val="24"/>
          <w:szCs w:val="24"/>
        </w:rPr>
        <w:t xml:space="preserve">es </w:t>
      </w:r>
      <w:r w:rsidR="00116728">
        <w:rPr>
          <w:rFonts w:ascii="Palatino Linotype" w:hAnsi="Palatino Linotype"/>
          <w:color w:val="000000" w:themeColor="text1"/>
          <w:sz w:val="24"/>
          <w:szCs w:val="24"/>
        </w:rPr>
        <w:t>de suma relevancia</w:t>
      </w:r>
      <w:r w:rsidR="002F21B3" w:rsidRPr="00116728">
        <w:rPr>
          <w:rFonts w:ascii="Palatino Linotype" w:hAnsi="Palatino Linotype"/>
          <w:color w:val="000000" w:themeColor="text1"/>
          <w:sz w:val="24"/>
          <w:szCs w:val="24"/>
        </w:rPr>
        <w:t>, al tenor de que afecta la esfera más íntima de los Derechos Humanos. La violencia sexual, se puede manifestar a través de distintos comportamientos</w:t>
      </w:r>
      <w:r w:rsidR="005D2317">
        <w:rPr>
          <w:rFonts w:ascii="Palatino Linotype" w:hAnsi="Palatino Linotype"/>
          <w:color w:val="000000" w:themeColor="text1"/>
          <w:sz w:val="24"/>
          <w:szCs w:val="24"/>
        </w:rPr>
        <w:t>,</w:t>
      </w:r>
      <w:r w:rsidR="002F21B3" w:rsidRPr="00116728">
        <w:rPr>
          <w:rFonts w:ascii="Palatino Linotype" w:hAnsi="Palatino Linotype"/>
          <w:color w:val="000000" w:themeColor="text1"/>
          <w:sz w:val="24"/>
          <w:szCs w:val="24"/>
        </w:rPr>
        <w:t xml:space="preserve"> sin distinción al </w:t>
      </w:r>
      <w:r w:rsidR="00680707">
        <w:rPr>
          <w:rFonts w:ascii="Palatino Linotype" w:hAnsi="Palatino Linotype"/>
          <w:color w:val="000000" w:themeColor="text1"/>
          <w:sz w:val="24"/>
          <w:szCs w:val="24"/>
        </w:rPr>
        <w:t>género</w:t>
      </w:r>
      <w:r w:rsidR="002F21B3" w:rsidRPr="00116728">
        <w:rPr>
          <w:rFonts w:ascii="Palatino Linotype" w:hAnsi="Palatino Linotype"/>
          <w:color w:val="000000" w:themeColor="text1"/>
          <w:sz w:val="24"/>
          <w:szCs w:val="24"/>
        </w:rPr>
        <w:t xml:space="preserve">, a la edad, etnia, posición económica o jerarquía </w:t>
      </w:r>
      <w:r w:rsidR="00612178" w:rsidRPr="00116728">
        <w:rPr>
          <w:rFonts w:ascii="Palatino Linotype" w:hAnsi="Palatino Linotype"/>
          <w:color w:val="000000" w:themeColor="text1"/>
          <w:sz w:val="24"/>
          <w:szCs w:val="24"/>
        </w:rPr>
        <w:t xml:space="preserve">de autoridad, transgrediendo la integridad física, psíquica, moral y social de una persona. </w:t>
      </w:r>
    </w:p>
    <w:p w:rsidR="00275773" w:rsidRDefault="00275773" w:rsidP="00B4479E">
      <w:pPr>
        <w:spacing w:after="0" w:line="360" w:lineRule="auto"/>
        <w:jc w:val="both"/>
        <w:rPr>
          <w:rFonts w:ascii="Palatino Linotype" w:hAnsi="Palatino Linotype"/>
          <w:color w:val="000000" w:themeColor="text1"/>
          <w:sz w:val="24"/>
          <w:szCs w:val="24"/>
        </w:rPr>
      </w:pPr>
    </w:p>
    <w:p w:rsidR="005D2317" w:rsidRDefault="005D2317" w:rsidP="00B4479E">
      <w:pPr>
        <w:spacing w:after="0" w:line="360"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 xml:space="preserve">Es de referir que un adecuado entorno escolar, es indispensable para el desarrollo personal, psicológico </w:t>
      </w:r>
      <w:r w:rsidR="00B4479E">
        <w:rPr>
          <w:rFonts w:ascii="Palatino Linotype" w:hAnsi="Palatino Linotype"/>
          <w:color w:val="000000" w:themeColor="text1"/>
          <w:sz w:val="24"/>
          <w:szCs w:val="24"/>
        </w:rPr>
        <w:t>e intelectual del individuo</w:t>
      </w:r>
      <w:r>
        <w:rPr>
          <w:rFonts w:ascii="Palatino Linotype" w:hAnsi="Palatino Linotype"/>
          <w:color w:val="000000" w:themeColor="text1"/>
          <w:sz w:val="24"/>
          <w:szCs w:val="24"/>
        </w:rPr>
        <w:t>, ya que a través de éste</w:t>
      </w:r>
      <w:r w:rsidR="00B4479E">
        <w:rPr>
          <w:rFonts w:ascii="Palatino Linotype" w:hAnsi="Palatino Linotype"/>
          <w:color w:val="000000" w:themeColor="text1"/>
          <w:sz w:val="24"/>
          <w:szCs w:val="24"/>
        </w:rPr>
        <w:t>,</w:t>
      </w:r>
      <w:r>
        <w:rPr>
          <w:rFonts w:ascii="Palatino Linotype" w:hAnsi="Palatino Linotype"/>
          <w:color w:val="000000" w:themeColor="text1"/>
          <w:sz w:val="24"/>
          <w:szCs w:val="24"/>
        </w:rPr>
        <w:t xml:space="preserve"> se afianzan temas como; la seguridad individual, la inclusión y la convivencia social. </w:t>
      </w:r>
    </w:p>
    <w:p w:rsidR="00275773" w:rsidRDefault="00275773" w:rsidP="00B4479E">
      <w:pPr>
        <w:spacing w:after="0" w:line="360" w:lineRule="auto"/>
        <w:jc w:val="both"/>
        <w:rPr>
          <w:rFonts w:ascii="Palatino Linotype" w:hAnsi="Palatino Linotype"/>
          <w:color w:val="000000" w:themeColor="text1"/>
          <w:sz w:val="24"/>
          <w:szCs w:val="24"/>
        </w:rPr>
      </w:pPr>
    </w:p>
    <w:p w:rsidR="005D2317" w:rsidRDefault="005D2317" w:rsidP="00B4479E">
      <w:pPr>
        <w:spacing w:after="0" w:line="360" w:lineRule="auto"/>
        <w:jc w:val="both"/>
        <w:rPr>
          <w:rFonts w:ascii="Palatino Linotype" w:hAnsi="Palatino Linotype"/>
          <w:color w:val="000000" w:themeColor="text1"/>
          <w:sz w:val="24"/>
          <w:szCs w:val="24"/>
        </w:rPr>
      </w:pPr>
      <w:r>
        <w:rPr>
          <w:rFonts w:ascii="Palatino Linotype" w:hAnsi="Palatino Linotype"/>
        </w:rPr>
        <w:t>Es así que</w:t>
      </w:r>
      <w:r>
        <w:rPr>
          <w:rFonts w:ascii="Palatino Linotype" w:hAnsi="Palatino Linotype"/>
          <w:sz w:val="24"/>
        </w:rPr>
        <w:t xml:space="preserve"> a través de l</w:t>
      </w:r>
      <w:r w:rsidR="00612178" w:rsidRPr="00116728">
        <w:rPr>
          <w:rFonts w:ascii="Palatino Linotype" w:hAnsi="Palatino Linotype"/>
          <w:color w:val="000000" w:themeColor="text1"/>
          <w:sz w:val="24"/>
          <w:szCs w:val="24"/>
        </w:rPr>
        <w:t xml:space="preserve">a implementación de programas </w:t>
      </w:r>
      <w:r w:rsidR="00116728" w:rsidRPr="00116728">
        <w:rPr>
          <w:rFonts w:ascii="Palatino Linotype" w:hAnsi="Palatino Linotype"/>
          <w:color w:val="000000" w:themeColor="text1"/>
          <w:sz w:val="24"/>
          <w:szCs w:val="24"/>
        </w:rPr>
        <w:t xml:space="preserve">y acciones </w:t>
      </w:r>
      <w:r w:rsidR="00612178" w:rsidRPr="00116728">
        <w:rPr>
          <w:rFonts w:ascii="Palatino Linotype" w:hAnsi="Palatino Linotype"/>
          <w:color w:val="000000" w:themeColor="text1"/>
          <w:sz w:val="24"/>
          <w:szCs w:val="24"/>
        </w:rPr>
        <w:t>pr</w:t>
      </w:r>
      <w:r w:rsidR="00116728" w:rsidRPr="00116728">
        <w:rPr>
          <w:rFonts w:ascii="Palatino Linotype" w:hAnsi="Palatino Linotype"/>
          <w:color w:val="000000" w:themeColor="text1"/>
          <w:sz w:val="24"/>
          <w:szCs w:val="24"/>
        </w:rPr>
        <w:t>eventivas e informativa</w:t>
      </w:r>
      <w:r w:rsidR="00612178" w:rsidRPr="00116728">
        <w:rPr>
          <w:rFonts w:ascii="Palatino Linotype" w:hAnsi="Palatino Linotype"/>
          <w:color w:val="000000" w:themeColor="text1"/>
          <w:sz w:val="24"/>
          <w:szCs w:val="24"/>
        </w:rPr>
        <w:t>s</w:t>
      </w:r>
      <w:r>
        <w:rPr>
          <w:rFonts w:ascii="Palatino Linotype" w:hAnsi="Palatino Linotype"/>
          <w:color w:val="000000" w:themeColor="text1"/>
          <w:sz w:val="24"/>
          <w:szCs w:val="24"/>
        </w:rPr>
        <w:t xml:space="preserve"> en los centros escolares,</w:t>
      </w:r>
      <w:r w:rsidR="00612178" w:rsidRPr="00116728">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de manera con</w:t>
      </w:r>
      <w:r w:rsidR="00680707">
        <w:rPr>
          <w:rFonts w:ascii="Palatino Linotype" w:hAnsi="Palatino Linotype"/>
          <w:color w:val="000000" w:themeColor="text1"/>
          <w:sz w:val="24"/>
          <w:szCs w:val="24"/>
        </w:rPr>
        <w:t>s</w:t>
      </w:r>
      <w:r>
        <w:rPr>
          <w:rFonts w:ascii="Palatino Linotype" w:hAnsi="Palatino Linotype"/>
          <w:color w:val="000000" w:themeColor="text1"/>
          <w:sz w:val="24"/>
          <w:szCs w:val="24"/>
        </w:rPr>
        <w:t xml:space="preserve">tante, actualizada y permanente, con la finalidad de fomentar la cultura de la denuncia y la prevención, se lograría la reducción y erradicación de dicho fenómeno. </w:t>
      </w:r>
    </w:p>
    <w:p w:rsidR="000255FF" w:rsidRDefault="000255FF" w:rsidP="00D0304D">
      <w:pPr>
        <w:spacing w:after="0" w:line="360" w:lineRule="auto"/>
        <w:jc w:val="both"/>
        <w:rPr>
          <w:rFonts w:ascii="Palatino Linotype" w:hAnsi="Palatino Linotype"/>
          <w:color w:val="000000" w:themeColor="text1"/>
          <w:sz w:val="24"/>
          <w:szCs w:val="24"/>
        </w:rPr>
      </w:pPr>
    </w:p>
    <w:p w:rsidR="00AC7C5A" w:rsidRDefault="00AC7C5A" w:rsidP="00D0304D">
      <w:pPr>
        <w:spacing w:after="0" w:line="360" w:lineRule="auto"/>
        <w:jc w:val="both"/>
        <w:rPr>
          <w:rFonts w:ascii="Palatino Linotype" w:hAnsi="Palatino Linotype"/>
          <w:color w:val="000000" w:themeColor="text1"/>
          <w:sz w:val="24"/>
          <w:szCs w:val="24"/>
        </w:rPr>
      </w:pPr>
    </w:p>
    <w:p w:rsidR="00646525" w:rsidRDefault="00646525" w:rsidP="00D0304D">
      <w:pPr>
        <w:spacing w:after="0" w:line="360" w:lineRule="auto"/>
        <w:jc w:val="both"/>
        <w:rPr>
          <w:rFonts w:ascii="Palatino Linotype" w:hAnsi="Palatino Linotype"/>
          <w:color w:val="000000" w:themeColor="text1"/>
          <w:sz w:val="24"/>
          <w:szCs w:val="24"/>
        </w:rPr>
      </w:pPr>
    </w:p>
    <w:p w:rsidR="00646525" w:rsidRPr="005D0B8C" w:rsidRDefault="00646525" w:rsidP="00D0304D">
      <w:pPr>
        <w:spacing w:after="0" w:line="360" w:lineRule="auto"/>
        <w:jc w:val="both"/>
        <w:rPr>
          <w:rFonts w:ascii="Palatino Linotype" w:hAnsi="Palatino Linotype"/>
          <w:color w:val="000000" w:themeColor="text1"/>
          <w:sz w:val="24"/>
          <w:szCs w:val="24"/>
        </w:rPr>
      </w:pPr>
    </w:p>
    <w:p w:rsidR="005B563A" w:rsidRPr="005D0B8C" w:rsidRDefault="00010A7A" w:rsidP="00D0304D">
      <w:pPr>
        <w:spacing w:after="0" w:line="360" w:lineRule="auto"/>
        <w:jc w:val="center"/>
        <w:rPr>
          <w:rFonts w:ascii="Palatino Linotype" w:hAnsi="Palatino Linotype" w:cs="Arial"/>
          <w:b/>
          <w:color w:val="000000" w:themeColor="text1"/>
          <w:sz w:val="24"/>
          <w:szCs w:val="24"/>
        </w:rPr>
      </w:pPr>
      <w:r w:rsidRPr="005D0B8C">
        <w:rPr>
          <w:rFonts w:ascii="Palatino Linotype" w:hAnsi="Palatino Linotype" w:cs="Arial"/>
          <w:b/>
          <w:color w:val="000000" w:themeColor="text1"/>
          <w:sz w:val="24"/>
          <w:szCs w:val="24"/>
        </w:rPr>
        <w:lastRenderedPageBreak/>
        <w:t>ÍNDICE</w:t>
      </w:r>
    </w:p>
    <w:p w:rsidR="005B563A" w:rsidRPr="005D0B8C" w:rsidRDefault="005B563A" w:rsidP="00D0304D">
      <w:pPr>
        <w:spacing w:after="0" w:line="360" w:lineRule="auto"/>
        <w:jc w:val="both"/>
        <w:rPr>
          <w:rFonts w:ascii="Palatino Linotype" w:hAnsi="Palatino Linotype" w:cs="Arial"/>
          <w:b/>
          <w:color w:val="000000" w:themeColor="text1"/>
          <w:sz w:val="24"/>
          <w:szCs w:val="24"/>
        </w:rPr>
      </w:pPr>
    </w:p>
    <w:sdt>
      <w:sdtPr>
        <w:rPr>
          <w:rFonts w:ascii="Palatino Linotype" w:hAnsi="Palatino Linotype"/>
          <w:color w:val="000000" w:themeColor="text1"/>
          <w:sz w:val="24"/>
          <w:szCs w:val="24"/>
          <w:lang w:val="es-ES"/>
        </w:rPr>
        <w:id w:val="-1625236335"/>
        <w:docPartObj>
          <w:docPartGallery w:val="Table of Contents"/>
          <w:docPartUnique/>
        </w:docPartObj>
      </w:sdtPr>
      <w:sdtEndPr>
        <w:rPr>
          <w:b/>
          <w:bCs/>
        </w:rPr>
      </w:sdtEndPr>
      <w:sdtContent>
        <w:p w:rsidR="00664F83" w:rsidRDefault="005B563A">
          <w:pPr>
            <w:pStyle w:val="TDC1"/>
            <w:rPr>
              <w:rFonts w:eastAsiaTheme="minorEastAsia"/>
              <w:noProof/>
              <w:lang w:eastAsia="es-MX"/>
            </w:rPr>
          </w:pPr>
          <w:r w:rsidRPr="006D5203">
            <w:rPr>
              <w:rFonts w:ascii="Palatino Linotype" w:eastAsiaTheme="majorEastAsia" w:hAnsi="Palatino Linotype" w:cstheme="majorBidi"/>
              <w:color w:val="000000" w:themeColor="text1"/>
              <w:sz w:val="24"/>
              <w:szCs w:val="24"/>
              <w:lang w:eastAsia="es-MX"/>
            </w:rPr>
            <w:fldChar w:fldCharType="begin"/>
          </w:r>
          <w:r w:rsidRPr="006D5203">
            <w:rPr>
              <w:rFonts w:ascii="Palatino Linotype" w:hAnsi="Palatino Linotype"/>
              <w:color w:val="000000" w:themeColor="text1"/>
              <w:sz w:val="24"/>
              <w:szCs w:val="24"/>
            </w:rPr>
            <w:instrText xml:space="preserve"> TOC \o "1-3" \h \z \u </w:instrText>
          </w:r>
          <w:r w:rsidRPr="006D5203">
            <w:rPr>
              <w:rFonts w:ascii="Palatino Linotype" w:eastAsiaTheme="majorEastAsia" w:hAnsi="Palatino Linotype" w:cstheme="majorBidi"/>
              <w:color w:val="000000" w:themeColor="text1"/>
              <w:sz w:val="24"/>
              <w:szCs w:val="24"/>
              <w:lang w:eastAsia="es-MX"/>
            </w:rPr>
            <w:fldChar w:fldCharType="separate"/>
          </w:r>
          <w:hyperlink w:anchor="_Toc524694347" w:history="1">
            <w:r w:rsidR="00664F83" w:rsidRPr="000F662C">
              <w:rPr>
                <w:rStyle w:val="Hipervnculo"/>
                <w:rFonts w:ascii="Palatino Linotype" w:hAnsi="Palatino Linotype"/>
                <w:b/>
                <w:noProof/>
              </w:rPr>
              <w:t>I.</w:t>
            </w:r>
            <w:r w:rsidR="00664F83">
              <w:rPr>
                <w:rFonts w:eastAsiaTheme="minorEastAsia"/>
                <w:noProof/>
                <w:lang w:eastAsia="es-MX"/>
              </w:rPr>
              <w:tab/>
            </w:r>
            <w:r w:rsidR="00664F83" w:rsidRPr="000F662C">
              <w:rPr>
                <w:rStyle w:val="Hipervnculo"/>
                <w:rFonts w:ascii="Palatino Linotype" w:hAnsi="Palatino Linotype"/>
                <w:b/>
                <w:noProof/>
              </w:rPr>
              <w:t>Consideraciones Generales</w:t>
            </w:r>
            <w:r w:rsidR="00664F83">
              <w:rPr>
                <w:noProof/>
                <w:webHidden/>
              </w:rPr>
              <w:tab/>
            </w:r>
            <w:r w:rsidR="00664F83">
              <w:rPr>
                <w:noProof/>
                <w:webHidden/>
              </w:rPr>
              <w:fldChar w:fldCharType="begin"/>
            </w:r>
            <w:r w:rsidR="00664F83">
              <w:rPr>
                <w:noProof/>
                <w:webHidden/>
              </w:rPr>
              <w:instrText xml:space="preserve"> PAGEREF _Toc524694347 \h </w:instrText>
            </w:r>
            <w:r w:rsidR="00664F83">
              <w:rPr>
                <w:noProof/>
                <w:webHidden/>
              </w:rPr>
            </w:r>
            <w:r w:rsidR="00664F83">
              <w:rPr>
                <w:noProof/>
                <w:webHidden/>
              </w:rPr>
              <w:fldChar w:fldCharType="separate"/>
            </w:r>
            <w:r w:rsidR="001C7385">
              <w:rPr>
                <w:noProof/>
                <w:webHidden/>
              </w:rPr>
              <w:t>3</w:t>
            </w:r>
            <w:r w:rsidR="00664F83">
              <w:rPr>
                <w:noProof/>
                <w:webHidden/>
              </w:rPr>
              <w:fldChar w:fldCharType="end"/>
            </w:r>
          </w:hyperlink>
        </w:p>
        <w:p w:rsidR="00664F83" w:rsidRDefault="00D654AF">
          <w:pPr>
            <w:pStyle w:val="TDC1"/>
            <w:rPr>
              <w:rFonts w:eastAsiaTheme="minorEastAsia"/>
              <w:noProof/>
              <w:lang w:eastAsia="es-MX"/>
            </w:rPr>
          </w:pPr>
          <w:hyperlink w:anchor="_Toc524694348" w:history="1">
            <w:r w:rsidR="00664F83" w:rsidRPr="000F662C">
              <w:rPr>
                <w:rStyle w:val="Hipervnculo"/>
                <w:rFonts w:ascii="Palatino Linotype" w:hAnsi="Palatino Linotype"/>
                <w:b/>
                <w:noProof/>
              </w:rPr>
              <w:t>I.</w:t>
            </w:r>
            <w:r w:rsidR="00664F83">
              <w:rPr>
                <w:rFonts w:eastAsiaTheme="minorEastAsia"/>
                <w:noProof/>
                <w:lang w:eastAsia="es-MX"/>
              </w:rPr>
              <w:tab/>
            </w:r>
            <w:r w:rsidR="00664F83" w:rsidRPr="000F662C">
              <w:rPr>
                <w:rStyle w:val="Hipervnculo"/>
                <w:rFonts w:ascii="Palatino Linotype" w:hAnsi="Palatino Linotype"/>
                <w:b/>
                <w:noProof/>
              </w:rPr>
              <w:t>De la resolución emitida al recurso de revisión 02684/INFOEM/IP/RR/2018.</w:t>
            </w:r>
            <w:r w:rsidR="00664F83">
              <w:rPr>
                <w:noProof/>
                <w:webHidden/>
              </w:rPr>
              <w:tab/>
            </w:r>
            <w:r w:rsidR="00664F83">
              <w:rPr>
                <w:noProof/>
                <w:webHidden/>
              </w:rPr>
              <w:fldChar w:fldCharType="begin"/>
            </w:r>
            <w:r w:rsidR="00664F83">
              <w:rPr>
                <w:noProof/>
                <w:webHidden/>
              </w:rPr>
              <w:instrText xml:space="preserve"> PAGEREF _Toc524694348 \h </w:instrText>
            </w:r>
            <w:r w:rsidR="00664F83">
              <w:rPr>
                <w:noProof/>
                <w:webHidden/>
              </w:rPr>
            </w:r>
            <w:r w:rsidR="00664F83">
              <w:rPr>
                <w:noProof/>
                <w:webHidden/>
              </w:rPr>
              <w:fldChar w:fldCharType="separate"/>
            </w:r>
            <w:r w:rsidR="001C7385">
              <w:rPr>
                <w:noProof/>
                <w:webHidden/>
              </w:rPr>
              <w:t>4</w:t>
            </w:r>
            <w:r w:rsidR="00664F83">
              <w:rPr>
                <w:noProof/>
                <w:webHidden/>
              </w:rPr>
              <w:fldChar w:fldCharType="end"/>
            </w:r>
          </w:hyperlink>
        </w:p>
        <w:p w:rsidR="005B563A" w:rsidRPr="005D0B8C" w:rsidRDefault="005B563A" w:rsidP="00D0304D">
          <w:pPr>
            <w:spacing w:after="0" w:line="360" w:lineRule="auto"/>
            <w:ind w:left="425" w:hanging="425"/>
            <w:rPr>
              <w:rFonts w:ascii="Palatino Linotype" w:hAnsi="Palatino Linotype"/>
              <w:color w:val="000000" w:themeColor="text1"/>
              <w:sz w:val="24"/>
              <w:szCs w:val="24"/>
            </w:rPr>
          </w:pPr>
          <w:r w:rsidRPr="006D5203">
            <w:rPr>
              <w:rFonts w:ascii="Palatino Linotype" w:hAnsi="Palatino Linotype"/>
              <w:b/>
              <w:bCs/>
              <w:color w:val="000000" w:themeColor="text1"/>
              <w:sz w:val="24"/>
              <w:szCs w:val="24"/>
              <w:lang w:val="es-ES"/>
            </w:rPr>
            <w:fldChar w:fldCharType="end"/>
          </w:r>
        </w:p>
      </w:sdtContent>
    </w:sdt>
    <w:p w:rsidR="00D31E87" w:rsidRPr="005D0B8C" w:rsidRDefault="00D31E87" w:rsidP="00D0304D">
      <w:pPr>
        <w:pStyle w:val="Ttulo1"/>
        <w:numPr>
          <w:ilvl w:val="0"/>
          <w:numId w:val="19"/>
        </w:numPr>
        <w:spacing w:line="360" w:lineRule="auto"/>
        <w:ind w:hanging="153"/>
        <w:rPr>
          <w:rFonts w:ascii="Palatino Linotype" w:hAnsi="Palatino Linotype"/>
          <w:b/>
          <w:color w:val="000000" w:themeColor="text1"/>
          <w:sz w:val="24"/>
          <w:szCs w:val="24"/>
        </w:rPr>
      </w:pPr>
      <w:bookmarkStart w:id="0" w:name="_Toc524694347"/>
      <w:r w:rsidRPr="005D0B8C">
        <w:rPr>
          <w:rFonts w:ascii="Palatino Linotype" w:hAnsi="Palatino Linotype"/>
          <w:b/>
          <w:color w:val="000000" w:themeColor="text1"/>
          <w:sz w:val="24"/>
          <w:szCs w:val="24"/>
        </w:rPr>
        <w:t>Consideraciones Generales</w:t>
      </w:r>
      <w:bookmarkEnd w:id="0"/>
    </w:p>
    <w:p w:rsidR="00D31E87" w:rsidRPr="005D0B8C" w:rsidRDefault="00D31E87" w:rsidP="00D0304D">
      <w:pPr>
        <w:pStyle w:val="Prrafodelista"/>
        <w:spacing w:after="0" w:line="360" w:lineRule="auto"/>
        <w:ind w:left="1080"/>
        <w:jc w:val="both"/>
        <w:rPr>
          <w:rFonts w:ascii="Palatino Linotype" w:hAnsi="Palatino Linotype"/>
          <w:color w:val="000000" w:themeColor="text1"/>
          <w:sz w:val="24"/>
          <w:szCs w:val="24"/>
        </w:rPr>
      </w:pPr>
    </w:p>
    <w:p w:rsidR="00D31E87" w:rsidRPr="005D0B8C" w:rsidRDefault="00D31E87" w:rsidP="00D0304D">
      <w:pPr>
        <w:pStyle w:val="Prrafodelista"/>
        <w:numPr>
          <w:ilvl w:val="0"/>
          <w:numId w:val="8"/>
        </w:numPr>
        <w:spacing w:after="0" w:line="360" w:lineRule="auto"/>
        <w:jc w:val="both"/>
        <w:rPr>
          <w:rFonts w:ascii="Palatino Linotype" w:hAnsi="Palatino Linotype"/>
          <w:color w:val="000000" w:themeColor="text1"/>
          <w:sz w:val="24"/>
          <w:szCs w:val="24"/>
        </w:rPr>
      </w:pPr>
      <w:r w:rsidRPr="005D0B8C">
        <w:rPr>
          <w:rFonts w:ascii="Palatino Linotype" w:hAnsi="Palatino Linotype"/>
          <w:color w:val="000000" w:themeColor="text1"/>
          <w:sz w:val="24"/>
          <w:szCs w:val="24"/>
        </w:rPr>
        <w:t>He</w:t>
      </w:r>
      <w:r w:rsidR="00F072D4" w:rsidRPr="005D0B8C">
        <w:rPr>
          <w:rFonts w:ascii="Palatino Linotype" w:hAnsi="Palatino Linotype"/>
          <w:color w:val="000000" w:themeColor="text1"/>
          <w:sz w:val="24"/>
          <w:szCs w:val="24"/>
        </w:rPr>
        <w:t>mos</w:t>
      </w:r>
      <w:r w:rsidRPr="005D0B8C">
        <w:rPr>
          <w:rFonts w:ascii="Palatino Linotype" w:hAnsi="Palatino Linotype"/>
          <w:color w:val="000000" w:themeColor="text1"/>
          <w:sz w:val="24"/>
          <w:szCs w:val="24"/>
        </w:rPr>
        <w:t xml:space="preserve"> concurrido con </w:t>
      </w:r>
      <w:r w:rsidR="00AF7A00">
        <w:rPr>
          <w:rFonts w:ascii="Palatino Linotype" w:hAnsi="Palatino Linotype"/>
          <w:color w:val="000000" w:themeColor="text1"/>
          <w:sz w:val="24"/>
          <w:szCs w:val="24"/>
        </w:rPr>
        <w:t xml:space="preserve">esta </w:t>
      </w:r>
      <w:r w:rsidRPr="005D0B8C">
        <w:rPr>
          <w:rFonts w:ascii="Palatino Linotype" w:hAnsi="Palatino Linotype"/>
          <w:color w:val="000000" w:themeColor="text1"/>
          <w:sz w:val="24"/>
          <w:szCs w:val="24"/>
        </w:rPr>
        <w:t xml:space="preserve">opinión particular </w:t>
      </w:r>
      <w:r w:rsidR="00AF7A00">
        <w:rPr>
          <w:rFonts w:ascii="Palatino Linotype" w:hAnsi="Palatino Linotype"/>
          <w:color w:val="000000" w:themeColor="text1"/>
          <w:sz w:val="24"/>
          <w:szCs w:val="24"/>
        </w:rPr>
        <w:t xml:space="preserve">en la </w:t>
      </w:r>
      <w:r w:rsidRPr="005D0B8C">
        <w:rPr>
          <w:rFonts w:ascii="Palatino Linotype" w:hAnsi="Palatino Linotype"/>
          <w:color w:val="000000" w:themeColor="text1"/>
          <w:sz w:val="24"/>
          <w:szCs w:val="24"/>
        </w:rPr>
        <w:t xml:space="preserve">resolución emitida por el Pleno del Instituto de Transparencia, Acceso a la Información Pública y Protección de Datos Personales del Estado de México y Municipios, en su </w:t>
      </w:r>
      <w:r w:rsidR="00F072D4" w:rsidRPr="00275773">
        <w:rPr>
          <w:rFonts w:ascii="Palatino Linotype" w:hAnsi="Palatino Linotype"/>
          <w:color w:val="000000" w:themeColor="text1"/>
          <w:sz w:val="24"/>
          <w:szCs w:val="24"/>
        </w:rPr>
        <w:t>tri</w:t>
      </w:r>
      <w:r w:rsidR="00233DEC" w:rsidRPr="00275773">
        <w:rPr>
          <w:rFonts w:ascii="Palatino Linotype" w:hAnsi="Palatino Linotype"/>
          <w:color w:val="000000" w:themeColor="text1"/>
          <w:sz w:val="24"/>
          <w:szCs w:val="24"/>
        </w:rPr>
        <w:t xml:space="preserve">gésima </w:t>
      </w:r>
      <w:r w:rsidR="000255FF" w:rsidRPr="00275773">
        <w:rPr>
          <w:rFonts w:ascii="Palatino Linotype" w:hAnsi="Palatino Linotype"/>
          <w:color w:val="000000" w:themeColor="text1"/>
          <w:sz w:val="24"/>
          <w:szCs w:val="24"/>
        </w:rPr>
        <w:t>tercera</w:t>
      </w:r>
      <w:r w:rsidRPr="00275773">
        <w:rPr>
          <w:rFonts w:ascii="Palatino Linotype" w:hAnsi="Palatino Linotype"/>
          <w:color w:val="000000" w:themeColor="text1"/>
          <w:sz w:val="24"/>
          <w:szCs w:val="24"/>
        </w:rPr>
        <w:t xml:space="preserve"> sesión ordinaria de fecha </w:t>
      </w:r>
      <w:r w:rsidR="000255FF" w:rsidRPr="00275773">
        <w:rPr>
          <w:rFonts w:ascii="Palatino Linotype" w:hAnsi="Palatino Linotype"/>
          <w:color w:val="000000" w:themeColor="text1"/>
          <w:sz w:val="24"/>
          <w:szCs w:val="24"/>
        </w:rPr>
        <w:t>doce</w:t>
      </w:r>
      <w:r w:rsidRPr="00275773">
        <w:rPr>
          <w:rFonts w:ascii="Palatino Linotype" w:hAnsi="Palatino Linotype"/>
          <w:color w:val="000000" w:themeColor="text1"/>
          <w:sz w:val="24"/>
          <w:szCs w:val="24"/>
        </w:rPr>
        <w:t xml:space="preserve"> </w:t>
      </w:r>
      <w:r w:rsidR="00A23FC2" w:rsidRPr="00275773">
        <w:rPr>
          <w:rFonts w:ascii="Palatino Linotype" w:hAnsi="Palatino Linotype"/>
          <w:color w:val="000000" w:themeColor="text1"/>
          <w:sz w:val="24"/>
          <w:szCs w:val="24"/>
        </w:rPr>
        <w:t>(</w:t>
      </w:r>
      <w:r w:rsidR="000255FF" w:rsidRPr="00275773">
        <w:rPr>
          <w:rFonts w:ascii="Palatino Linotype" w:hAnsi="Palatino Linotype"/>
          <w:color w:val="000000" w:themeColor="text1"/>
          <w:sz w:val="24"/>
          <w:szCs w:val="24"/>
        </w:rPr>
        <w:t>12</w:t>
      </w:r>
      <w:r w:rsidR="00A23FC2" w:rsidRPr="00275773">
        <w:rPr>
          <w:rFonts w:ascii="Palatino Linotype" w:hAnsi="Palatino Linotype"/>
          <w:color w:val="000000" w:themeColor="text1"/>
          <w:sz w:val="24"/>
          <w:szCs w:val="24"/>
        </w:rPr>
        <w:t xml:space="preserve">) </w:t>
      </w:r>
      <w:r w:rsidRPr="00275773">
        <w:rPr>
          <w:rFonts w:ascii="Palatino Linotype" w:hAnsi="Palatino Linotype"/>
          <w:color w:val="000000" w:themeColor="text1"/>
          <w:sz w:val="24"/>
          <w:szCs w:val="24"/>
        </w:rPr>
        <w:t xml:space="preserve">de </w:t>
      </w:r>
      <w:r w:rsidR="00F072D4" w:rsidRPr="00275773">
        <w:rPr>
          <w:rFonts w:ascii="Palatino Linotype" w:hAnsi="Palatino Linotype"/>
          <w:color w:val="000000" w:themeColor="text1"/>
          <w:sz w:val="24"/>
          <w:szCs w:val="24"/>
        </w:rPr>
        <w:t>septiembre</w:t>
      </w:r>
      <w:r w:rsidR="00516B40" w:rsidRPr="00275773">
        <w:rPr>
          <w:rFonts w:ascii="Palatino Linotype" w:hAnsi="Palatino Linotype"/>
          <w:color w:val="000000" w:themeColor="text1"/>
          <w:sz w:val="24"/>
          <w:szCs w:val="24"/>
        </w:rPr>
        <w:t xml:space="preserve"> de dos mil dieciocho</w:t>
      </w:r>
      <w:r w:rsidR="0014513D" w:rsidRPr="005D0B8C">
        <w:rPr>
          <w:rFonts w:ascii="Palatino Linotype" w:hAnsi="Palatino Linotype"/>
          <w:color w:val="000000" w:themeColor="text1"/>
          <w:sz w:val="24"/>
          <w:szCs w:val="24"/>
        </w:rPr>
        <w:t>, promovida</w:t>
      </w:r>
      <w:r w:rsidRPr="005D0B8C">
        <w:rPr>
          <w:rFonts w:ascii="Palatino Linotype" w:hAnsi="Palatino Linotype"/>
          <w:color w:val="000000" w:themeColor="text1"/>
          <w:sz w:val="24"/>
          <w:szCs w:val="24"/>
        </w:rPr>
        <w:t xml:space="preserve"> por </w:t>
      </w:r>
      <w:r w:rsidR="00D654AF" w:rsidRPr="00D654AF">
        <w:rPr>
          <w:rFonts w:ascii="Palatino Linotype" w:hAnsi="Palatino Linotype"/>
          <w:b/>
          <w:sz w:val="24"/>
          <w:szCs w:val="24"/>
          <w:highlight w:val="black"/>
        </w:rPr>
        <w:t>----------------------------------</w:t>
      </w:r>
      <w:r w:rsidR="000255FF">
        <w:rPr>
          <w:rFonts w:ascii="Palatino Linotype" w:hAnsi="Palatino Linotype"/>
          <w:b/>
          <w:sz w:val="24"/>
          <w:szCs w:val="24"/>
        </w:rPr>
        <w:t xml:space="preserve"> </w:t>
      </w:r>
      <w:r w:rsidRPr="005D0B8C">
        <w:rPr>
          <w:rFonts w:ascii="Palatino Linotype" w:hAnsi="Palatino Linotype"/>
          <w:color w:val="000000" w:themeColor="text1"/>
          <w:sz w:val="24"/>
          <w:szCs w:val="24"/>
        </w:rPr>
        <w:t>en contra de la respuesta de</w:t>
      </w:r>
      <w:r w:rsidR="00F072D4" w:rsidRPr="005D0B8C">
        <w:rPr>
          <w:rFonts w:ascii="Palatino Linotype" w:hAnsi="Palatino Linotype"/>
          <w:color w:val="000000" w:themeColor="text1"/>
          <w:sz w:val="24"/>
          <w:szCs w:val="24"/>
        </w:rPr>
        <w:t xml:space="preserve"> </w:t>
      </w:r>
      <w:r w:rsidR="0032572C" w:rsidRPr="005D0B8C">
        <w:rPr>
          <w:rFonts w:ascii="Palatino Linotype" w:hAnsi="Palatino Linotype"/>
          <w:color w:val="000000" w:themeColor="text1"/>
          <w:sz w:val="24"/>
          <w:szCs w:val="24"/>
        </w:rPr>
        <w:t>l</w:t>
      </w:r>
      <w:r w:rsidR="00F072D4" w:rsidRPr="005D0B8C">
        <w:rPr>
          <w:rFonts w:ascii="Palatino Linotype" w:hAnsi="Palatino Linotype"/>
          <w:color w:val="000000" w:themeColor="text1"/>
          <w:sz w:val="24"/>
          <w:szCs w:val="24"/>
        </w:rPr>
        <w:t>a</w:t>
      </w:r>
      <w:r w:rsidRPr="005D0B8C">
        <w:rPr>
          <w:rFonts w:ascii="Palatino Linotype" w:hAnsi="Palatino Linotype"/>
          <w:color w:val="000000" w:themeColor="text1"/>
          <w:sz w:val="24"/>
          <w:szCs w:val="24"/>
        </w:rPr>
        <w:t xml:space="preserve">  </w:t>
      </w:r>
      <w:r w:rsidR="00F072D4" w:rsidRPr="005D0B8C">
        <w:rPr>
          <w:rFonts w:ascii="Palatino Linotype" w:hAnsi="Palatino Linotype"/>
          <w:b/>
          <w:color w:val="000000" w:themeColor="text1"/>
          <w:sz w:val="24"/>
          <w:szCs w:val="24"/>
        </w:rPr>
        <w:t>Universidad Politécnica del Valle de Toluca</w:t>
      </w:r>
      <w:r w:rsidR="0071204D" w:rsidRPr="005D0B8C">
        <w:rPr>
          <w:rFonts w:ascii="Palatino Linotype" w:hAnsi="Palatino Linotype"/>
          <w:b/>
          <w:color w:val="000000" w:themeColor="text1"/>
          <w:sz w:val="24"/>
          <w:szCs w:val="24"/>
        </w:rPr>
        <w:t>,</w:t>
      </w:r>
      <w:r w:rsidR="00934600" w:rsidRPr="005D0B8C">
        <w:rPr>
          <w:rFonts w:ascii="Palatino Linotype" w:hAnsi="Palatino Linotype"/>
          <w:color w:val="000000" w:themeColor="text1"/>
          <w:sz w:val="24"/>
          <w:szCs w:val="24"/>
        </w:rPr>
        <w:t xml:space="preserve"> </w:t>
      </w:r>
      <w:r w:rsidRPr="005D0B8C">
        <w:rPr>
          <w:rFonts w:ascii="Palatino Linotype" w:hAnsi="Palatino Linotype"/>
          <w:color w:val="000000" w:themeColor="text1"/>
          <w:sz w:val="24"/>
          <w:szCs w:val="24"/>
        </w:rPr>
        <w:t xml:space="preserve">procedimiento al que se le asignó el número de expediente </w:t>
      </w:r>
      <w:r w:rsidR="000255FF" w:rsidRPr="005D0B8C">
        <w:rPr>
          <w:rFonts w:ascii="Palatino Linotype" w:hAnsi="Palatino Linotype"/>
          <w:b/>
          <w:color w:val="000000" w:themeColor="text1"/>
          <w:sz w:val="24"/>
          <w:szCs w:val="24"/>
        </w:rPr>
        <w:t>0</w:t>
      </w:r>
      <w:r w:rsidR="000255FF">
        <w:rPr>
          <w:rFonts w:ascii="Palatino Linotype" w:hAnsi="Palatino Linotype"/>
          <w:b/>
          <w:color w:val="000000" w:themeColor="text1"/>
          <w:sz w:val="24"/>
          <w:szCs w:val="24"/>
        </w:rPr>
        <w:t>2684</w:t>
      </w:r>
      <w:r w:rsidR="000255FF" w:rsidRPr="005D0B8C">
        <w:rPr>
          <w:rFonts w:ascii="Palatino Linotype" w:hAnsi="Palatino Linotype"/>
          <w:b/>
          <w:color w:val="000000" w:themeColor="text1"/>
          <w:sz w:val="24"/>
          <w:szCs w:val="24"/>
        </w:rPr>
        <w:t>/INFOEM/IP/RR/2018.</w:t>
      </w:r>
    </w:p>
    <w:p w:rsidR="00D31E87" w:rsidRPr="005D0B8C" w:rsidRDefault="00D31E87" w:rsidP="00D0304D">
      <w:pPr>
        <w:pStyle w:val="Prrafodelista"/>
        <w:spacing w:after="0" w:line="360" w:lineRule="auto"/>
        <w:ind w:left="360"/>
        <w:jc w:val="both"/>
        <w:rPr>
          <w:rFonts w:ascii="Palatino Linotype" w:hAnsi="Palatino Linotype"/>
          <w:color w:val="000000" w:themeColor="text1"/>
          <w:sz w:val="24"/>
          <w:szCs w:val="24"/>
        </w:rPr>
      </w:pPr>
    </w:p>
    <w:p w:rsidR="000255FF" w:rsidRPr="000255FF" w:rsidRDefault="00381DDA" w:rsidP="00D0304D">
      <w:pPr>
        <w:pStyle w:val="Prrafodelista"/>
        <w:numPr>
          <w:ilvl w:val="0"/>
          <w:numId w:val="8"/>
        </w:numPr>
        <w:spacing w:after="0" w:line="360" w:lineRule="auto"/>
        <w:jc w:val="both"/>
        <w:rPr>
          <w:rFonts w:ascii="Palatino Linotype" w:hAnsi="Palatino Linotype"/>
          <w:b/>
          <w:bCs/>
          <w:i/>
          <w:sz w:val="24"/>
          <w:szCs w:val="24"/>
        </w:rPr>
      </w:pPr>
      <w:r w:rsidRPr="005D0B8C">
        <w:rPr>
          <w:rFonts w:ascii="Palatino Linotype" w:hAnsi="Palatino Linotype"/>
          <w:sz w:val="24"/>
          <w:szCs w:val="24"/>
        </w:rPr>
        <w:t>La resolución</w:t>
      </w:r>
      <w:r w:rsidR="005D0B8C" w:rsidRPr="005D0B8C">
        <w:rPr>
          <w:rFonts w:ascii="Palatino Linotype" w:hAnsi="Palatino Linotype"/>
          <w:sz w:val="24"/>
          <w:szCs w:val="24"/>
        </w:rPr>
        <w:t xml:space="preserve"> de mérito,</w:t>
      </w:r>
      <w:r w:rsidRPr="005D0B8C">
        <w:rPr>
          <w:rFonts w:ascii="Palatino Linotype" w:hAnsi="Palatino Linotype"/>
          <w:sz w:val="24"/>
          <w:szCs w:val="24"/>
        </w:rPr>
        <w:t xml:space="preserve"> determina </w:t>
      </w:r>
      <w:r w:rsidR="000255FF">
        <w:rPr>
          <w:rFonts w:ascii="Palatino Linotype" w:hAnsi="Palatino Linotype" w:cs="Arial"/>
          <w:sz w:val="24"/>
          <w:szCs w:val="24"/>
        </w:rPr>
        <w:t>confirmar</w:t>
      </w:r>
      <w:r w:rsidRPr="005D0B8C">
        <w:rPr>
          <w:rFonts w:ascii="Palatino Linotype" w:hAnsi="Palatino Linotype" w:cs="Arial"/>
          <w:b/>
          <w:sz w:val="24"/>
          <w:szCs w:val="24"/>
        </w:rPr>
        <w:t xml:space="preserve"> </w:t>
      </w:r>
      <w:r w:rsidRPr="005D0B8C">
        <w:rPr>
          <w:rFonts w:ascii="Palatino Linotype" w:eastAsia="Calibri" w:hAnsi="Palatino Linotype" w:cs="Arial"/>
          <w:sz w:val="24"/>
          <w:szCs w:val="24"/>
        </w:rPr>
        <w:t xml:space="preserve">la </w:t>
      </w:r>
      <w:r w:rsidR="000344E7" w:rsidRPr="005D0B8C">
        <w:rPr>
          <w:rFonts w:ascii="Palatino Linotype" w:eastAsia="Calibri" w:hAnsi="Palatino Linotype" w:cs="Arial"/>
          <w:sz w:val="24"/>
          <w:szCs w:val="24"/>
        </w:rPr>
        <w:t>respuesta proporcionada</w:t>
      </w:r>
      <w:r w:rsidRPr="005D0B8C">
        <w:rPr>
          <w:rFonts w:ascii="Palatino Linotype" w:eastAsia="Calibri" w:hAnsi="Palatino Linotype" w:cs="Arial"/>
          <w:sz w:val="24"/>
          <w:szCs w:val="24"/>
        </w:rPr>
        <w:t xml:space="preserve"> por el Sujeto Obligado </w:t>
      </w:r>
      <w:r w:rsidRPr="005D0B8C">
        <w:rPr>
          <w:rFonts w:ascii="Palatino Linotype" w:hAnsi="Palatino Linotype" w:cs="Arial"/>
          <w:sz w:val="24"/>
          <w:szCs w:val="24"/>
        </w:rPr>
        <w:t>en términos de</w:t>
      </w:r>
      <w:r w:rsidR="005D0B8C" w:rsidRPr="005D0B8C">
        <w:rPr>
          <w:rFonts w:ascii="Palatino Linotype" w:hAnsi="Palatino Linotype" w:cs="Arial"/>
          <w:sz w:val="24"/>
          <w:szCs w:val="24"/>
        </w:rPr>
        <w:t xml:space="preserve"> su</w:t>
      </w:r>
      <w:r w:rsidRPr="005D0B8C">
        <w:rPr>
          <w:rFonts w:ascii="Palatino Linotype" w:hAnsi="Palatino Linotype" w:cs="Arial"/>
          <w:bCs/>
          <w:sz w:val="24"/>
          <w:szCs w:val="24"/>
        </w:rPr>
        <w:t xml:space="preserve"> Considerando </w:t>
      </w:r>
      <w:r w:rsidR="000255FF">
        <w:rPr>
          <w:rFonts w:ascii="Palatino Linotype" w:hAnsi="Palatino Linotype" w:cs="Arial"/>
          <w:bCs/>
          <w:sz w:val="24"/>
          <w:szCs w:val="24"/>
        </w:rPr>
        <w:t>Cuarto.</w:t>
      </w:r>
    </w:p>
    <w:p w:rsidR="000255FF" w:rsidRPr="000255FF" w:rsidRDefault="000255FF" w:rsidP="00D0304D">
      <w:pPr>
        <w:spacing w:after="0" w:line="360" w:lineRule="auto"/>
        <w:jc w:val="both"/>
        <w:rPr>
          <w:rFonts w:ascii="Palatino Linotype" w:hAnsi="Palatino Linotype"/>
          <w:b/>
          <w:bCs/>
          <w:i/>
          <w:sz w:val="24"/>
          <w:szCs w:val="24"/>
        </w:rPr>
      </w:pPr>
    </w:p>
    <w:p w:rsidR="00D31E87" w:rsidRPr="00DC7F66" w:rsidRDefault="0071204D" w:rsidP="00DC7F66">
      <w:pPr>
        <w:pStyle w:val="Prrafodelista"/>
        <w:numPr>
          <w:ilvl w:val="0"/>
          <w:numId w:val="17"/>
        </w:numPr>
        <w:spacing w:after="0" w:line="360" w:lineRule="auto"/>
        <w:jc w:val="both"/>
        <w:rPr>
          <w:rFonts w:ascii="Palatino Linotype" w:hAnsi="Palatino Linotype"/>
          <w:color w:val="000000" w:themeColor="text1"/>
          <w:sz w:val="24"/>
          <w:szCs w:val="24"/>
        </w:rPr>
      </w:pPr>
      <w:r w:rsidRPr="005D0B8C">
        <w:rPr>
          <w:rFonts w:ascii="Palatino Linotype" w:hAnsi="Palatino Linotype"/>
          <w:color w:val="000000" w:themeColor="text1"/>
          <w:sz w:val="24"/>
          <w:szCs w:val="24"/>
        </w:rPr>
        <w:t>Al respecto, emit</w:t>
      </w:r>
      <w:r w:rsidR="00381DDA" w:rsidRPr="005D0B8C">
        <w:rPr>
          <w:rFonts w:ascii="Palatino Linotype" w:hAnsi="Palatino Linotype"/>
          <w:color w:val="000000" w:themeColor="text1"/>
          <w:sz w:val="24"/>
          <w:szCs w:val="24"/>
        </w:rPr>
        <w:t>im</w:t>
      </w:r>
      <w:r w:rsidRPr="005D0B8C">
        <w:rPr>
          <w:rFonts w:ascii="Palatino Linotype" w:hAnsi="Palatino Linotype"/>
          <w:color w:val="000000" w:themeColor="text1"/>
          <w:sz w:val="24"/>
          <w:szCs w:val="24"/>
        </w:rPr>
        <w:t>o</w:t>
      </w:r>
      <w:r w:rsidR="00381DDA" w:rsidRPr="005D0B8C">
        <w:rPr>
          <w:rFonts w:ascii="Palatino Linotype" w:hAnsi="Palatino Linotype"/>
          <w:color w:val="000000" w:themeColor="text1"/>
          <w:sz w:val="24"/>
          <w:szCs w:val="24"/>
        </w:rPr>
        <w:t>s</w:t>
      </w:r>
      <w:r w:rsidRPr="005D0B8C">
        <w:rPr>
          <w:rFonts w:ascii="Palatino Linotype" w:hAnsi="Palatino Linotype"/>
          <w:color w:val="000000" w:themeColor="text1"/>
          <w:sz w:val="24"/>
          <w:szCs w:val="24"/>
        </w:rPr>
        <w:t xml:space="preserve"> la presente opinión </w:t>
      </w:r>
      <w:r w:rsidR="006A2AF7" w:rsidRPr="005D0B8C">
        <w:rPr>
          <w:rFonts w:ascii="Palatino Linotype" w:hAnsi="Palatino Linotype"/>
          <w:color w:val="000000" w:themeColor="text1"/>
          <w:sz w:val="24"/>
          <w:szCs w:val="24"/>
        </w:rPr>
        <w:t>particular, en virtud de</w:t>
      </w:r>
      <w:r w:rsidRPr="005D0B8C">
        <w:rPr>
          <w:rFonts w:ascii="Palatino Linotype" w:hAnsi="Palatino Linotype"/>
          <w:color w:val="000000" w:themeColor="text1"/>
          <w:sz w:val="24"/>
          <w:szCs w:val="24"/>
        </w:rPr>
        <w:t xml:space="preserve"> </w:t>
      </w:r>
      <w:r w:rsidR="00381DDA" w:rsidRPr="005D0B8C">
        <w:rPr>
          <w:rFonts w:ascii="Palatino Linotype" w:hAnsi="Palatino Linotype"/>
          <w:color w:val="000000" w:themeColor="text1"/>
          <w:sz w:val="24"/>
          <w:szCs w:val="24"/>
        </w:rPr>
        <w:t>que si bien es cierto compartimos el sentido adoptado,</w:t>
      </w:r>
      <w:r w:rsidR="00AF7A00">
        <w:rPr>
          <w:rFonts w:ascii="Palatino Linotype" w:hAnsi="Palatino Linotype"/>
          <w:color w:val="000000" w:themeColor="text1"/>
          <w:sz w:val="24"/>
          <w:szCs w:val="24"/>
        </w:rPr>
        <w:t xml:space="preserve"> se considera que la UPVT pudo haber realizado un mayor esfuerzo en proporcionar la información, si bien, señala no existe en rectoría registro de lo solicitado, </w:t>
      </w:r>
      <w:r w:rsidR="00AF7A00" w:rsidRPr="00275773">
        <w:rPr>
          <w:rFonts w:ascii="Palatino Linotype" w:hAnsi="Palatino Linotype"/>
          <w:color w:val="000000" w:themeColor="text1"/>
          <w:sz w:val="24"/>
          <w:szCs w:val="24"/>
        </w:rPr>
        <w:t xml:space="preserve">si </w:t>
      </w:r>
      <w:r w:rsidR="00CF1A9B" w:rsidRPr="00275773">
        <w:rPr>
          <w:rFonts w:ascii="Palatino Linotype" w:hAnsi="Palatino Linotype"/>
          <w:color w:val="000000" w:themeColor="text1"/>
          <w:sz w:val="24"/>
          <w:szCs w:val="24"/>
        </w:rPr>
        <w:t>pudiera contar</w:t>
      </w:r>
      <w:r w:rsidR="00AF7A00" w:rsidRPr="00275773">
        <w:rPr>
          <w:rFonts w:ascii="Palatino Linotype" w:hAnsi="Palatino Linotype"/>
          <w:color w:val="000000" w:themeColor="text1"/>
          <w:sz w:val="24"/>
          <w:szCs w:val="24"/>
        </w:rPr>
        <w:t xml:space="preserve"> </w:t>
      </w:r>
      <w:r w:rsidR="00CF1A9B" w:rsidRPr="00275773">
        <w:rPr>
          <w:rFonts w:ascii="Palatino Linotype" w:hAnsi="Palatino Linotype"/>
          <w:color w:val="000000" w:themeColor="text1"/>
          <w:sz w:val="24"/>
          <w:szCs w:val="24"/>
        </w:rPr>
        <w:t>con</w:t>
      </w:r>
      <w:r w:rsidR="00DC7F66" w:rsidRPr="00275773">
        <w:rPr>
          <w:rFonts w:ascii="Palatino Linotype" w:hAnsi="Palatino Linotype"/>
          <w:color w:val="000000" w:themeColor="text1"/>
          <w:sz w:val="24"/>
          <w:szCs w:val="24"/>
        </w:rPr>
        <w:t xml:space="preserve"> información que </w:t>
      </w:r>
      <w:r w:rsidR="00CF1A9B" w:rsidRPr="00275773">
        <w:rPr>
          <w:rFonts w:ascii="Palatino Linotype" w:hAnsi="Palatino Linotype"/>
          <w:color w:val="000000" w:themeColor="text1"/>
          <w:sz w:val="24"/>
          <w:szCs w:val="24"/>
        </w:rPr>
        <w:lastRenderedPageBreak/>
        <w:t>ayude</w:t>
      </w:r>
      <w:r w:rsidR="00DC7F66" w:rsidRPr="00275773">
        <w:rPr>
          <w:rFonts w:ascii="Palatino Linotype" w:hAnsi="Palatino Linotype"/>
          <w:color w:val="000000" w:themeColor="text1"/>
          <w:sz w:val="24"/>
          <w:szCs w:val="24"/>
        </w:rPr>
        <w:t xml:space="preserve"> a la comunidad estudiantil a prevenir este tipo de conductas.</w:t>
      </w:r>
      <w:r w:rsidR="00DC7F66">
        <w:rPr>
          <w:rFonts w:ascii="Palatino Linotype" w:hAnsi="Palatino Linotype"/>
          <w:color w:val="000000" w:themeColor="text1"/>
          <w:sz w:val="24"/>
          <w:szCs w:val="24"/>
        </w:rPr>
        <w:t xml:space="preserve"> </w:t>
      </w:r>
      <w:r w:rsidR="00D31E87" w:rsidRPr="00DC7F66">
        <w:rPr>
          <w:rFonts w:ascii="Palatino Linotype" w:hAnsi="Palatino Linotype"/>
          <w:color w:val="000000" w:themeColor="text1"/>
          <w:sz w:val="24"/>
          <w:szCs w:val="24"/>
        </w:rPr>
        <w:t>Por tal motivo y en términos de lo señalado por el artículo 14 fracción XI del Reglamento Interior del Instituto de Transparencia y Acceso a la Información Pública del Estado de México y Municipios formulo la presente opinión particular.</w:t>
      </w:r>
    </w:p>
    <w:p w:rsidR="001C572F" w:rsidRPr="005D0B8C" w:rsidRDefault="001C572F" w:rsidP="00D0304D">
      <w:pPr>
        <w:pStyle w:val="Prrafodelista"/>
        <w:spacing w:after="0" w:line="360" w:lineRule="auto"/>
        <w:ind w:left="360"/>
        <w:jc w:val="both"/>
        <w:rPr>
          <w:rFonts w:ascii="Palatino Linotype" w:hAnsi="Palatino Linotype"/>
          <w:color w:val="000000" w:themeColor="text1"/>
          <w:sz w:val="24"/>
          <w:szCs w:val="24"/>
        </w:rPr>
      </w:pPr>
    </w:p>
    <w:p w:rsidR="00D31E87" w:rsidRPr="005D0B8C" w:rsidRDefault="00F81714" w:rsidP="00664F83">
      <w:pPr>
        <w:pStyle w:val="Ttulo1"/>
        <w:numPr>
          <w:ilvl w:val="0"/>
          <w:numId w:val="38"/>
        </w:numPr>
        <w:spacing w:line="360" w:lineRule="auto"/>
        <w:ind w:hanging="294"/>
        <w:jc w:val="both"/>
        <w:rPr>
          <w:rFonts w:ascii="Palatino Linotype" w:hAnsi="Palatino Linotype"/>
          <w:b/>
          <w:color w:val="000000" w:themeColor="text1"/>
          <w:sz w:val="24"/>
          <w:szCs w:val="24"/>
        </w:rPr>
      </w:pPr>
      <w:bookmarkStart w:id="1" w:name="_Toc524694348"/>
      <w:r w:rsidRPr="005D0B8C">
        <w:rPr>
          <w:rFonts w:ascii="Palatino Linotype" w:hAnsi="Palatino Linotype"/>
          <w:b/>
          <w:color w:val="000000" w:themeColor="text1"/>
          <w:sz w:val="24"/>
          <w:szCs w:val="24"/>
        </w:rPr>
        <w:t>De la resolución emitida al recurso de revisión</w:t>
      </w:r>
      <w:r w:rsidR="005F5D83" w:rsidRPr="005D0B8C">
        <w:rPr>
          <w:rFonts w:ascii="Palatino Linotype" w:hAnsi="Palatino Linotype"/>
          <w:b/>
          <w:color w:val="000000" w:themeColor="text1"/>
          <w:sz w:val="24"/>
          <w:szCs w:val="24"/>
        </w:rPr>
        <w:t xml:space="preserve"> </w:t>
      </w:r>
      <w:r w:rsidR="00664F83">
        <w:rPr>
          <w:rFonts w:ascii="Palatino Linotype" w:hAnsi="Palatino Linotype"/>
          <w:b/>
          <w:color w:val="000000" w:themeColor="text1"/>
          <w:sz w:val="24"/>
          <w:szCs w:val="24"/>
        </w:rPr>
        <w:t>0</w:t>
      </w:r>
      <w:r w:rsidR="000255FF">
        <w:rPr>
          <w:rFonts w:ascii="Palatino Linotype" w:hAnsi="Palatino Linotype"/>
          <w:b/>
          <w:color w:val="000000" w:themeColor="text1"/>
          <w:sz w:val="24"/>
          <w:szCs w:val="24"/>
        </w:rPr>
        <w:t>2684</w:t>
      </w:r>
      <w:r w:rsidR="00381DDA" w:rsidRPr="005D0B8C">
        <w:rPr>
          <w:rFonts w:ascii="Palatino Linotype" w:hAnsi="Palatino Linotype"/>
          <w:b/>
          <w:color w:val="000000" w:themeColor="text1"/>
          <w:sz w:val="24"/>
          <w:szCs w:val="24"/>
        </w:rPr>
        <w:t>/INFOEM/IP/RR/2018</w:t>
      </w:r>
      <w:r w:rsidR="005F5D83" w:rsidRPr="005D0B8C">
        <w:rPr>
          <w:rFonts w:ascii="Palatino Linotype" w:hAnsi="Palatino Linotype"/>
          <w:b/>
          <w:color w:val="000000" w:themeColor="text1"/>
          <w:sz w:val="24"/>
          <w:szCs w:val="24"/>
        </w:rPr>
        <w:t>.</w:t>
      </w:r>
      <w:bookmarkEnd w:id="1"/>
    </w:p>
    <w:p w:rsidR="00D31E87" w:rsidRPr="005D0B8C" w:rsidRDefault="00D31E87" w:rsidP="00D0304D">
      <w:pPr>
        <w:pStyle w:val="Prrafodelista"/>
        <w:spacing w:after="0" w:line="360" w:lineRule="auto"/>
        <w:ind w:left="1080"/>
        <w:jc w:val="both"/>
        <w:rPr>
          <w:rFonts w:ascii="Palatino Linotype" w:hAnsi="Palatino Linotype"/>
          <w:b/>
          <w:color w:val="000000" w:themeColor="text1"/>
          <w:sz w:val="24"/>
          <w:szCs w:val="24"/>
        </w:rPr>
      </w:pPr>
    </w:p>
    <w:p w:rsidR="006C7057" w:rsidRPr="006C7057" w:rsidRDefault="006A2AF7" w:rsidP="00D0304D">
      <w:pPr>
        <w:pStyle w:val="Prrafodelista"/>
        <w:numPr>
          <w:ilvl w:val="0"/>
          <w:numId w:val="17"/>
        </w:numPr>
        <w:spacing w:after="0" w:line="360" w:lineRule="auto"/>
        <w:jc w:val="both"/>
        <w:rPr>
          <w:rFonts w:ascii="Palatino Linotype" w:hAnsi="Palatino Linotype" w:cs="Arial"/>
          <w:sz w:val="24"/>
          <w:szCs w:val="24"/>
        </w:rPr>
      </w:pPr>
      <w:r w:rsidRPr="005D0B8C">
        <w:rPr>
          <w:rFonts w:ascii="Palatino Linotype" w:hAnsi="Palatino Linotype"/>
          <w:color w:val="000000" w:themeColor="text1"/>
          <w:sz w:val="24"/>
          <w:szCs w:val="24"/>
        </w:rPr>
        <w:t xml:space="preserve">En su momento, la </w:t>
      </w:r>
      <w:r w:rsidR="0014513D" w:rsidRPr="005D0B8C">
        <w:rPr>
          <w:rFonts w:ascii="Palatino Linotype" w:hAnsi="Palatino Linotype"/>
          <w:color w:val="000000" w:themeColor="text1"/>
          <w:sz w:val="24"/>
          <w:szCs w:val="24"/>
        </w:rPr>
        <w:t>P</w:t>
      </w:r>
      <w:r w:rsidRPr="005D0B8C">
        <w:rPr>
          <w:rFonts w:ascii="Palatino Linotype" w:hAnsi="Palatino Linotype"/>
          <w:color w:val="000000" w:themeColor="text1"/>
          <w:sz w:val="24"/>
          <w:szCs w:val="24"/>
        </w:rPr>
        <w:t xml:space="preserve">onencia </w:t>
      </w:r>
      <w:r w:rsidR="0014513D" w:rsidRPr="005D0B8C">
        <w:rPr>
          <w:rFonts w:ascii="Palatino Linotype" w:hAnsi="Palatino Linotype"/>
          <w:color w:val="000000" w:themeColor="text1"/>
          <w:sz w:val="24"/>
          <w:szCs w:val="24"/>
        </w:rPr>
        <w:t>R</w:t>
      </w:r>
      <w:r w:rsidRPr="005D0B8C">
        <w:rPr>
          <w:rFonts w:ascii="Palatino Linotype" w:hAnsi="Palatino Linotype"/>
          <w:color w:val="000000" w:themeColor="text1"/>
          <w:sz w:val="24"/>
          <w:szCs w:val="24"/>
        </w:rPr>
        <w:t>esolutora, advirtió que</w:t>
      </w:r>
      <w:r w:rsidR="00381DDA" w:rsidRPr="005D0B8C">
        <w:rPr>
          <w:rFonts w:ascii="Palatino Linotype" w:hAnsi="Palatino Linotype"/>
          <w:color w:val="000000" w:themeColor="text1"/>
          <w:sz w:val="24"/>
          <w:szCs w:val="24"/>
        </w:rPr>
        <w:t xml:space="preserve"> resultaba</w:t>
      </w:r>
      <w:r w:rsidRPr="005D0B8C">
        <w:rPr>
          <w:rFonts w:ascii="Palatino Linotype" w:hAnsi="Palatino Linotype"/>
          <w:color w:val="000000" w:themeColor="text1"/>
          <w:sz w:val="24"/>
          <w:szCs w:val="24"/>
        </w:rPr>
        <w:t xml:space="preserve"> </w:t>
      </w:r>
      <w:r w:rsidR="00381DDA" w:rsidRPr="005D0B8C">
        <w:rPr>
          <w:rFonts w:ascii="Palatino Linotype" w:eastAsia="MS Mincho" w:hAnsi="Palatino Linotype" w:cs="Bookman Old Style"/>
          <w:sz w:val="24"/>
          <w:szCs w:val="24"/>
          <w:lang w:eastAsia="es-MX"/>
        </w:rPr>
        <w:t xml:space="preserve">pertinente enfatizar que </w:t>
      </w:r>
      <w:r w:rsidR="006C7057">
        <w:rPr>
          <w:rFonts w:ascii="Palatino Linotype" w:eastAsia="MS Mincho" w:hAnsi="Palatino Linotype" w:cs="Bookman Old Style"/>
          <w:sz w:val="24"/>
          <w:szCs w:val="24"/>
          <w:lang w:eastAsia="es-MX"/>
        </w:rPr>
        <w:t xml:space="preserve">el </w:t>
      </w:r>
      <w:r w:rsidR="00381DDA" w:rsidRPr="005D0B8C">
        <w:rPr>
          <w:rFonts w:ascii="Palatino Linotype" w:eastAsia="MS Mincho" w:hAnsi="Palatino Linotype" w:cs="Bookman Old Style"/>
          <w:sz w:val="24"/>
          <w:szCs w:val="24"/>
          <w:lang w:eastAsia="es-MX"/>
        </w:rPr>
        <w:t>Sujeto Obligado</w:t>
      </w:r>
      <w:r w:rsidR="006C7057">
        <w:rPr>
          <w:rFonts w:ascii="Palatino Linotype" w:eastAsia="MS Mincho" w:hAnsi="Palatino Linotype" w:cs="Bookman Old Style"/>
          <w:sz w:val="24"/>
          <w:szCs w:val="24"/>
          <w:lang w:eastAsia="es-MX"/>
        </w:rPr>
        <w:t xml:space="preserve"> atendió y otorgó la respuesta a la solicitud de información dentro de la temporalidad concedida y que además no había manera de dar satisfacción a la información específica por la recurrente al tenor de que</w:t>
      </w:r>
      <w:r w:rsidR="001C7385">
        <w:rPr>
          <w:rFonts w:ascii="Palatino Linotype" w:eastAsia="MS Mincho" w:hAnsi="Palatino Linotype" w:cs="Bookman Old Style"/>
          <w:sz w:val="24"/>
          <w:szCs w:val="24"/>
          <w:lang w:eastAsia="es-MX"/>
        </w:rPr>
        <w:t xml:space="preserve">, </w:t>
      </w:r>
      <w:r w:rsidR="006C7057">
        <w:rPr>
          <w:rFonts w:ascii="Palatino Linotype" w:eastAsia="MS Mincho" w:hAnsi="Palatino Linotype" w:cs="Bookman Old Style"/>
          <w:sz w:val="24"/>
          <w:szCs w:val="24"/>
          <w:lang w:eastAsia="es-MX"/>
        </w:rPr>
        <w:t xml:space="preserve">no resultaba exigible al Sujeto Obligado la entrega de información que no obra en sus archivos. </w:t>
      </w:r>
    </w:p>
    <w:p w:rsidR="005B1011" w:rsidRPr="006C7057" w:rsidRDefault="005B1011" w:rsidP="00D0304D">
      <w:pPr>
        <w:spacing w:after="0" w:line="360" w:lineRule="auto"/>
        <w:jc w:val="both"/>
        <w:rPr>
          <w:rFonts w:ascii="Palatino Linotype" w:hAnsi="Palatino Linotype" w:cs="Arial"/>
          <w:sz w:val="24"/>
          <w:szCs w:val="24"/>
        </w:rPr>
      </w:pPr>
    </w:p>
    <w:p w:rsidR="00B17B9D" w:rsidRPr="006C7057" w:rsidRDefault="001C7385" w:rsidP="00D0304D">
      <w:pPr>
        <w:pStyle w:val="Prrafodelista"/>
        <w:numPr>
          <w:ilvl w:val="0"/>
          <w:numId w:val="17"/>
        </w:numPr>
        <w:spacing w:after="0" w:line="360" w:lineRule="auto"/>
        <w:jc w:val="both"/>
        <w:rPr>
          <w:rFonts w:ascii="Palatino Linotype" w:hAnsi="Palatino Linotype"/>
          <w:color w:val="000000" w:themeColor="text1"/>
          <w:sz w:val="24"/>
          <w:szCs w:val="24"/>
        </w:rPr>
      </w:pPr>
      <w:r w:rsidRPr="00275773">
        <w:rPr>
          <w:rFonts w:ascii="Palatino Linotype" w:hAnsi="Palatino Linotype"/>
          <w:color w:val="000000" w:themeColor="text1"/>
          <w:sz w:val="24"/>
          <w:szCs w:val="24"/>
        </w:rPr>
        <w:t xml:space="preserve">En ese </w:t>
      </w:r>
      <w:r w:rsidR="00EA562E" w:rsidRPr="00275773">
        <w:rPr>
          <w:rFonts w:ascii="Palatino Linotype" w:hAnsi="Palatino Linotype"/>
          <w:color w:val="000000" w:themeColor="text1"/>
          <w:sz w:val="24"/>
          <w:szCs w:val="24"/>
        </w:rPr>
        <w:t>cotexto</w:t>
      </w:r>
      <w:r w:rsidR="005B1011" w:rsidRPr="00275773">
        <w:rPr>
          <w:rFonts w:ascii="Palatino Linotype" w:hAnsi="Palatino Linotype"/>
          <w:color w:val="000000" w:themeColor="text1"/>
          <w:sz w:val="24"/>
          <w:szCs w:val="24"/>
        </w:rPr>
        <w:t>, se</w:t>
      </w:r>
      <w:r w:rsidR="005B1011" w:rsidRPr="006C7057">
        <w:rPr>
          <w:rFonts w:ascii="Palatino Linotype" w:hAnsi="Palatino Linotype"/>
          <w:color w:val="000000" w:themeColor="text1"/>
          <w:sz w:val="24"/>
          <w:szCs w:val="24"/>
        </w:rPr>
        <w:t xml:space="preserve"> </w:t>
      </w:r>
      <w:r w:rsidR="006C7057">
        <w:rPr>
          <w:rFonts w:ascii="Palatino Linotype" w:hAnsi="Palatino Linotype"/>
          <w:color w:val="000000" w:themeColor="text1"/>
          <w:sz w:val="24"/>
          <w:szCs w:val="24"/>
        </w:rPr>
        <w:t>concluyó que frente a la notoria y evidente inexistencia fáctica de la información solicitada, el Sujeto Obligado no necesita justificar o fundamentar la inexistencia de la documentación, toda vez de que no existe la certeza de la denuncia a la que hizo alusión la particula</w:t>
      </w:r>
      <w:r>
        <w:rPr>
          <w:rFonts w:ascii="Palatino Linotype" w:hAnsi="Palatino Linotype"/>
          <w:color w:val="000000" w:themeColor="text1"/>
          <w:sz w:val="24"/>
          <w:szCs w:val="24"/>
        </w:rPr>
        <w:t>r aunado a que la interesada no</w:t>
      </w:r>
      <w:r w:rsidR="006C7057">
        <w:rPr>
          <w:rFonts w:ascii="Palatino Linotype" w:hAnsi="Palatino Linotype"/>
          <w:color w:val="000000" w:themeColor="text1"/>
          <w:sz w:val="24"/>
          <w:szCs w:val="24"/>
        </w:rPr>
        <w:t xml:space="preserve"> adjuntó la documentación relacionada con su solicitud de información. </w:t>
      </w:r>
      <w:r w:rsidR="006C7057" w:rsidRPr="006C7057">
        <w:rPr>
          <w:rFonts w:ascii="Palatino Linotype" w:hAnsi="Palatino Linotype"/>
          <w:color w:val="000000" w:themeColor="text1"/>
          <w:sz w:val="24"/>
          <w:szCs w:val="24"/>
        </w:rPr>
        <w:t xml:space="preserve"> </w:t>
      </w:r>
    </w:p>
    <w:p w:rsidR="006C7057" w:rsidRPr="006C7057" w:rsidRDefault="006C7057" w:rsidP="00D0304D">
      <w:pPr>
        <w:spacing w:after="0" w:line="360" w:lineRule="auto"/>
        <w:jc w:val="both"/>
        <w:rPr>
          <w:rFonts w:ascii="Palatino Linotype" w:hAnsi="Palatino Linotype"/>
          <w:color w:val="000000" w:themeColor="text1"/>
          <w:sz w:val="24"/>
          <w:szCs w:val="24"/>
        </w:rPr>
      </w:pPr>
    </w:p>
    <w:p w:rsidR="00080E3D" w:rsidRDefault="006C7057" w:rsidP="00D0304D">
      <w:pPr>
        <w:pStyle w:val="Prrafodelista"/>
        <w:numPr>
          <w:ilvl w:val="0"/>
          <w:numId w:val="17"/>
        </w:numPr>
        <w:spacing w:after="0" w:line="360"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lastRenderedPageBreak/>
        <w:t>En el mismo sentido, la Ponencia Resolutora, manifestó no estar facultada para pronunciarse sobre la veracidad de la informaci</w:t>
      </w:r>
      <w:r w:rsidR="00254E07">
        <w:rPr>
          <w:rFonts w:ascii="Palatino Linotype" w:hAnsi="Palatino Linotype"/>
          <w:color w:val="000000" w:themeColor="text1"/>
          <w:sz w:val="24"/>
          <w:szCs w:val="24"/>
        </w:rPr>
        <w:t xml:space="preserve">ón proporcionada, </w:t>
      </w:r>
      <w:r w:rsidR="00080E3D">
        <w:rPr>
          <w:rFonts w:ascii="Palatino Linotype" w:hAnsi="Palatino Linotype"/>
          <w:color w:val="000000" w:themeColor="text1"/>
          <w:sz w:val="24"/>
          <w:szCs w:val="24"/>
        </w:rPr>
        <w:t xml:space="preserve">del mismo modo, </w:t>
      </w:r>
      <w:r w:rsidR="001C7385">
        <w:rPr>
          <w:rFonts w:ascii="Palatino Linotype" w:hAnsi="Palatino Linotype"/>
          <w:color w:val="000000" w:themeColor="text1"/>
          <w:sz w:val="24"/>
          <w:szCs w:val="24"/>
        </w:rPr>
        <w:t>precisó</w:t>
      </w:r>
      <w:r w:rsidR="00080E3D">
        <w:rPr>
          <w:rFonts w:ascii="Palatino Linotype" w:hAnsi="Palatino Linotype"/>
          <w:color w:val="000000" w:themeColor="text1"/>
          <w:sz w:val="24"/>
          <w:szCs w:val="24"/>
        </w:rPr>
        <w:t xml:space="preserve"> que </w:t>
      </w:r>
      <w:r w:rsidR="001C7385">
        <w:rPr>
          <w:rFonts w:ascii="Palatino Linotype" w:hAnsi="Palatino Linotype"/>
          <w:color w:val="000000" w:themeColor="text1"/>
          <w:sz w:val="24"/>
          <w:szCs w:val="24"/>
        </w:rPr>
        <w:t>lo peticionado</w:t>
      </w:r>
      <w:r w:rsidR="00080E3D">
        <w:rPr>
          <w:rFonts w:ascii="Palatino Linotype" w:hAnsi="Palatino Linotype"/>
          <w:color w:val="000000" w:themeColor="text1"/>
          <w:sz w:val="24"/>
          <w:szCs w:val="24"/>
        </w:rPr>
        <w:t xml:space="preserve"> era mediante el ejercicio del Derecho de Petición, no así del Derecho de Acceso a la Información.</w:t>
      </w:r>
    </w:p>
    <w:p w:rsidR="00080E3D" w:rsidRPr="00080E3D" w:rsidRDefault="00080E3D" w:rsidP="00680707">
      <w:pPr>
        <w:pStyle w:val="Prrafodelista"/>
        <w:spacing w:after="0" w:line="360" w:lineRule="auto"/>
        <w:rPr>
          <w:rFonts w:ascii="Palatino Linotype" w:hAnsi="Palatino Linotype"/>
          <w:color w:val="000000" w:themeColor="text1"/>
          <w:sz w:val="24"/>
          <w:szCs w:val="24"/>
        </w:rPr>
      </w:pPr>
    </w:p>
    <w:p w:rsidR="005B1011" w:rsidRPr="005D0B8C" w:rsidRDefault="00CF1A9B" w:rsidP="00D0304D">
      <w:pPr>
        <w:pStyle w:val="Prrafodelista"/>
        <w:numPr>
          <w:ilvl w:val="0"/>
          <w:numId w:val="17"/>
        </w:numPr>
        <w:spacing w:after="0" w:line="360"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E</w:t>
      </w:r>
      <w:r w:rsidR="00080E3D">
        <w:rPr>
          <w:rFonts w:ascii="Palatino Linotype" w:hAnsi="Palatino Linotype"/>
          <w:color w:val="000000" w:themeColor="text1"/>
          <w:sz w:val="24"/>
          <w:szCs w:val="24"/>
        </w:rPr>
        <w:t xml:space="preserve">n el entendido de que el Derecho de Petición, </w:t>
      </w:r>
      <w:r>
        <w:rPr>
          <w:rFonts w:ascii="Palatino Linotype" w:hAnsi="Palatino Linotype"/>
          <w:color w:val="000000" w:themeColor="text1"/>
          <w:sz w:val="24"/>
          <w:szCs w:val="24"/>
        </w:rPr>
        <w:t>es</w:t>
      </w:r>
      <w:r w:rsidR="00080E3D">
        <w:rPr>
          <w:rFonts w:ascii="Palatino Linotype" w:hAnsi="Palatino Linotype"/>
          <w:color w:val="000000" w:themeColor="text1"/>
          <w:sz w:val="24"/>
          <w:szCs w:val="24"/>
        </w:rPr>
        <w:t xml:space="preserve"> aquel donde se busca que el Sujeto Obligado </w:t>
      </w:r>
      <w:r>
        <w:rPr>
          <w:rFonts w:ascii="Palatino Linotype" w:hAnsi="Palatino Linotype"/>
          <w:color w:val="000000" w:themeColor="text1"/>
          <w:sz w:val="24"/>
          <w:szCs w:val="24"/>
        </w:rPr>
        <w:t>actué</w:t>
      </w:r>
      <w:r w:rsidR="00080E3D">
        <w:rPr>
          <w:rFonts w:ascii="Palatino Linotype" w:hAnsi="Palatino Linotype"/>
          <w:color w:val="000000" w:themeColor="text1"/>
          <w:sz w:val="24"/>
          <w:szCs w:val="24"/>
        </w:rPr>
        <w:t xml:space="preserve"> en el sen</w:t>
      </w:r>
      <w:r>
        <w:rPr>
          <w:rFonts w:ascii="Palatino Linotype" w:hAnsi="Palatino Linotype"/>
          <w:color w:val="000000" w:themeColor="text1"/>
          <w:sz w:val="24"/>
          <w:szCs w:val="24"/>
        </w:rPr>
        <w:t>tido de contestar lo solicitado</w:t>
      </w:r>
      <w:r w:rsidR="00080E3D">
        <w:rPr>
          <w:rFonts w:ascii="Palatino Linotype" w:hAnsi="Palatino Linotype"/>
          <w:color w:val="000000" w:themeColor="text1"/>
          <w:sz w:val="24"/>
          <w:szCs w:val="24"/>
        </w:rPr>
        <w:t xml:space="preserve"> y</w:t>
      </w:r>
      <w:r>
        <w:rPr>
          <w:rFonts w:ascii="Palatino Linotype" w:hAnsi="Palatino Linotype"/>
          <w:color w:val="000000" w:themeColor="text1"/>
          <w:sz w:val="24"/>
          <w:szCs w:val="24"/>
        </w:rPr>
        <w:t>,</w:t>
      </w:r>
      <w:r w:rsidR="00080E3D">
        <w:rPr>
          <w:rFonts w:ascii="Palatino Linotype" w:hAnsi="Palatino Linotype"/>
          <w:color w:val="000000" w:themeColor="text1"/>
          <w:sz w:val="24"/>
          <w:szCs w:val="24"/>
        </w:rPr>
        <w:t xml:space="preserve"> en cambio</w:t>
      </w:r>
      <w:r>
        <w:rPr>
          <w:rFonts w:ascii="Palatino Linotype" w:hAnsi="Palatino Linotype"/>
          <w:color w:val="000000" w:themeColor="text1"/>
          <w:sz w:val="24"/>
          <w:szCs w:val="24"/>
        </w:rPr>
        <w:t>,</w:t>
      </w:r>
      <w:r w:rsidR="00080E3D">
        <w:rPr>
          <w:rFonts w:ascii="Palatino Linotype" w:hAnsi="Palatino Linotype"/>
          <w:color w:val="000000" w:themeColor="text1"/>
          <w:sz w:val="24"/>
          <w:szCs w:val="24"/>
        </w:rPr>
        <w:t xml:space="preserve"> el Dere</w:t>
      </w:r>
      <w:r>
        <w:rPr>
          <w:rFonts w:ascii="Palatino Linotype" w:hAnsi="Palatino Linotype"/>
          <w:color w:val="000000" w:themeColor="text1"/>
          <w:sz w:val="24"/>
          <w:szCs w:val="24"/>
        </w:rPr>
        <w:t>cho de Acceso a la Información es</w:t>
      </w:r>
      <w:r w:rsidR="00080E3D">
        <w:rPr>
          <w:rFonts w:ascii="Palatino Linotype" w:hAnsi="Palatino Linotype"/>
          <w:color w:val="000000" w:themeColor="text1"/>
          <w:sz w:val="24"/>
          <w:szCs w:val="24"/>
        </w:rPr>
        <w:t xml:space="preserve"> la prerrogativa </w:t>
      </w:r>
      <w:r w:rsidR="00080E3D" w:rsidRPr="00275773">
        <w:rPr>
          <w:rFonts w:ascii="Palatino Linotype" w:hAnsi="Palatino Linotype"/>
          <w:color w:val="000000" w:themeColor="text1"/>
          <w:sz w:val="24"/>
          <w:szCs w:val="24"/>
        </w:rPr>
        <w:t>de</w:t>
      </w:r>
      <w:r w:rsidR="001C7385" w:rsidRPr="00275773">
        <w:rPr>
          <w:rFonts w:ascii="Palatino Linotype" w:hAnsi="Palatino Linotype"/>
          <w:color w:val="000000" w:themeColor="text1"/>
          <w:sz w:val="24"/>
          <w:szCs w:val="24"/>
        </w:rPr>
        <w:t xml:space="preserve"> </w:t>
      </w:r>
      <w:r w:rsidR="00080E3D" w:rsidRPr="00275773">
        <w:rPr>
          <w:rFonts w:ascii="Palatino Linotype" w:hAnsi="Palatino Linotype"/>
          <w:color w:val="000000" w:themeColor="text1"/>
          <w:sz w:val="24"/>
          <w:szCs w:val="24"/>
        </w:rPr>
        <w:t>l</w:t>
      </w:r>
      <w:r w:rsidR="001C7385" w:rsidRPr="00275773">
        <w:rPr>
          <w:rFonts w:ascii="Palatino Linotype" w:hAnsi="Palatino Linotype"/>
          <w:color w:val="000000" w:themeColor="text1"/>
          <w:sz w:val="24"/>
          <w:szCs w:val="24"/>
        </w:rPr>
        <w:t>a</w:t>
      </w:r>
      <w:r w:rsidR="00080E3D" w:rsidRPr="00275773">
        <w:rPr>
          <w:rFonts w:ascii="Palatino Linotype" w:hAnsi="Palatino Linotype"/>
          <w:color w:val="000000" w:themeColor="text1"/>
          <w:sz w:val="24"/>
          <w:szCs w:val="24"/>
        </w:rPr>
        <w:t xml:space="preserve"> particular</w:t>
      </w:r>
      <w:r w:rsidR="00080E3D">
        <w:rPr>
          <w:rFonts w:ascii="Palatino Linotype" w:hAnsi="Palatino Linotype"/>
          <w:color w:val="000000" w:themeColor="text1"/>
          <w:sz w:val="24"/>
          <w:szCs w:val="24"/>
        </w:rPr>
        <w:t>, para acceder a la documentaci</w:t>
      </w:r>
      <w:r>
        <w:rPr>
          <w:rFonts w:ascii="Palatino Linotype" w:hAnsi="Palatino Linotype"/>
          <w:color w:val="000000" w:themeColor="text1"/>
          <w:sz w:val="24"/>
          <w:szCs w:val="24"/>
        </w:rPr>
        <w:t>ón en poder del Sujeto Obligado;</w:t>
      </w:r>
      <w:r w:rsidR="00080E3D">
        <w:rPr>
          <w:rFonts w:ascii="Palatino Linotype" w:hAnsi="Palatino Linotype"/>
          <w:color w:val="000000" w:themeColor="text1"/>
          <w:sz w:val="24"/>
          <w:szCs w:val="24"/>
        </w:rPr>
        <w:t xml:space="preserve"> lo anterior, con el objeto de demostrar que el Derecho de Petición no es materia de Acceso a la Información Pública. </w:t>
      </w:r>
    </w:p>
    <w:p w:rsidR="005B1011" w:rsidRPr="005D0B8C" w:rsidRDefault="005B1011" w:rsidP="00D0304D">
      <w:pPr>
        <w:pStyle w:val="Prrafodelista"/>
        <w:spacing w:after="0" w:line="360" w:lineRule="auto"/>
        <w:rPr>
          <w:rFonts w:ascii="Palatino Linotype" w:hAnsi="Palatino Linotype"/>
          <w:color w:val="000000" w:themeColor="text1"/>
          <w:sz w:val="24"/>
          <w:szCs w:val="24"/>
        </w:rPr>
      </w:pPr>
    </w:p>
    <w:p w:rsidR="00080E3D" w:rsidRPr="00080E3D" w:rsidRDefault="00080E3D" w:rsidP="00D0304D">
      <w:pPr>
        <w:numPr>
          <w:ilvl w:val="0"/>
          <w:numId w:val="17"/>
        </w:numPr>
        <w:spacing w:after="0" w:line="360" w:lineRule="auto"/>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Asimismo</w:t>
      </w:r>
      <w:r w:rsidR="00680707">
        <w:rPr>
          <w:rFonts w:ascii="Palatino Linotype" w:eastAsiaTheme="minorEastAsia" w:hAnsi="Palatino Linotype"/>
          <w:sz w:val="24"/>
          <w:szCs w:val="24"/>
          <w:lang w:val="es-ES_tradnl" w:eastAsia="es-ES"/>
        </w:rPr>
        <w:t>, la Ponencia Resolutora</w:t>
      </w:r>
      <w:r>
        <w:rPr>
          <w:rFonts w:ascii="Palatino Linotype" w:eastAsiaTheme="minorEastAsia" w:hAnsi="Palatino Linotype"/>
          <w:sz w:val="24"/>
          <w:szCs w:val="24"/>
          <w:lang w:val="es-ES_tradnl" w:eastAsia="es-ES"/>
        </w:rPr>
        <w:t xml:space="preserve"> se pronunció respecto a la figura de </w:t>
      </w:r>
      <w:r w:rsidRPr="00CF1A9B">
        <w:rPr>
          <w:rFonts w:ascii="Palatino Linotype" w:eastAsiaTheme="minorEastAsia" w:hAnsi="Palatino Linotype"/>
          <w:i/>
          <w:sz w:val="24"/>
          <w:szCs w:val="24"/>
          <w:lang w:val="es-ES_tradnl" w:eastAsia="es-ES"/>
        </w:rPr>
        <w:t>“plus petitio”</w:t>
      </w:r>
      <w:r>
        <w:rPr>
          <w:rFonts w:ascii="Palatino Linotype" w:eastAsiaTheme="minorEastAsia" w:hAnsi="Palatino Linotype"/>
          <w:sz w:val="24"/>
          <w:szCs w:val="24"/>
          <w:lang w:val="es-ES_tradnl" w:eastAsia="es-ES"/>
        </w:rPr>
        <w:t xml:space="preserve">, aludiendo que no se había requerido la información relativa a las acciones en materia de prevención de acoso sexual, desde </w:t>
      </w:r>
      <w:r w:rsidR="001C7385">
        <w:rPr>
          <w:rFonts w:ascii="Palatino Linotype" w:eastAsiaTheme="minorEastAsia" w:hAnsi="Palatino Linotype"/>
          <w:sz w:val="24"/>
          <w:szCs w:val="24"/>
          <w:lang w:val="es-ES_tradnl" w:eastAsia="es-ES"/>
        </w:rPr>
        <w:t>el requerimiento</w:t>
      </w:r>
      <w:r>
        <w:rPr>
          <w:rFonts w:ascii="Palatino Linotype" w:eastAsiaTheme="minorEastAsia" w:hAnsi="Palatino Linotype"/>
          <w:sz w:val="24"/>
          <w:szCs w:val="24"/>
          <w:lang w:val="es-ES_tradnl" w:eastAsia="es-ES"/>
        </w:rPr>
        <w:t xml:space="preserve"> inicial.  </w:t>
      </w:r>
    </w:p>
    <w:p w:rsidR="00080E3D" w:rsidRDefault="00080E3D" w:rsidP="00D0304D">
      <w:pPr>
        <w:pStyle w:val="Prrafodelista"/>
        <w:spacing w:after="0" w:line="360" w:lineRule="auto"/>
        <w:rPr>
          <w:rFonts w:ascii="Palatino Linotype" w:hAnsi="Palatino Linotype" w:cs="Arial"/>
          <w:sz w:val="24"/>
          <w:szCs w:val="24"/>
        </w:rPr>
      </w:pPr>
    </w:p>
    <w:p w:rsidR="00080E3D" w:rsidRPr="00080E3D" w:rsidRDefault="00080E3D" w:rsidP="00D0304D">
      <w:pPr>
        <w:numPr>
          <w:ilvl w:val="0"/>
          <w:numId w:val="17"/>
        </w:numPr>
        <w:spacing w:after="0" w:line="360" w:lineRule="auto"/>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En conclusión, la Ponencia </w:t>
      </w:r>
      <w:r w:rsidR="00BA6377">
        <w:rPr>
          <w:rFonts w:ascii="Palatino Linotype" w:eastAsiaTheme="minorEastAsia" w:hAnsi="Palatino Linotype"/>
          <w:sz w:val="24"/>
          <w:szCs w:val="24"/>
          <w:lang w:val="es-ES_tradnl" w:eastAsia="es-ES"/>
        </w:rPr>
        <w:t xml:space="preserve">advertida resolvió que era improcedente ordenar la entrega de la información requerida por parte de la particular. </w:t>
      </w:r>
    </w:p>
    <w:p w:rsidR="00080E3D" w:rsidRDefault="00080E3D" w:rsidP="00712510">
      <w:pPr>
        <w:pStyle w:val="Prrafodelista"/>
        <w:spacing w:after="0" w:line="360" w:lineRule="auto"/>
        <w:rPr>
          <w:rFonts w:ascii="Palatino Linotype" w:hAnsi="Palatino Linotype" w:cs="Arial"/>
          <w:sz w:val="24"/>
          <w:szCs w:val="24"/>
        </w:rPr>
      </w:pPr>
    </w:p>
    <w:p w:rsidR="00BA6377" w:rsidRDefault="005B1011" w:rsidP="00D0304D">
      <w:pPr>
        <w:numPr>
          <w:ilvl w:val="0"/>
          <w:numId w:val="17"/>
        </w:numPr>
        <w:spacing w:after="0" w:line="360" w:lineRule="auto"/>
        <w:contextualSpacing/>
        <w:jc w:val="both"/>
        <w:rPr>
          <w:rFonts w:ascii="Palatino Linotype" w:eastAsiaTheme="minorEastAsia" w:hAnsi="Palatino Linotype"/>
          <w:sz w:val="24"/>
          <w:szCs w:val="24"/>
          <w:lang w:val="es-ES_tradnl" w:eastAsia="es-ES"/>
        </w:rPr>
      </w:pPr>
      <w:r w:rsidRPr="005D0B8C">
        <w:rPr>
          <w:rFonts w:ascii="Palatino Linotype" w:hAnsi="Palatino Linotype" w:cs="Arial"/>
          <w:sz w:val="24"/>
          <w:szCs w:val="24"/>
        </w:rPr>
        <w:t xml:space="preserve">Contexto que ciertamente compartimos, no obstante </w:t>
      </w:r>
      <w:r w:rsidR="005D0B8C">
        <w:rPr>
          <w:rFonts w:ascii="Palatino Linotype" w:hAnsi="Palatino Linotype" w:cs="Arial"/>
          <w:sz w:val="24"/>
          <w:szCs w:val="24"/>
        </w:rPr>
        <w:t xml:space="preserve">consideramos </w:t>
      </w:r>
      <w:r w:rsidR="00BA6377">
        <w:rPr>
          <w:rFonts w:ascii="Palatino Linotype" w:hAnsi="Palatino Linotype" w:cs="Arial"/>
          <w:sz w:val="24"/>
          <w:szCs w:val="24"/>
        </w:rPr>
        <w:t xml:space="preserve">que </w:t>
      </w:r>
      <w:r w:rsidRPr="005D0B8C">
        <w:rPr>
          <w:rFonts w:ascii="Palatino Linotype" w:hAnsi="Palatino Linotype" w:cs="Arial"/>
          <w:sz w:val="24"/>
          <w:szCs w:val="24"/>
        </w:rPr>
        <w:t xml:space="preserve">la </w:t>
      </w:r>
      <w:r w:rsidRPr="00275773">
        <w:rPr>
          <w:rFonts w:ascii="Palatino Linotype" w:hAnsi="Palatino Linotype" w:cs="Arial"/>
          <w:sz w:val="24"/>
          <w:szCs w:val="24"/>
        </w:rPr>
        <w:t xml:space="preserve">resolución debió </w:t>
      </w:r>
      <w:r w:rsidR="007E2B38" w:rsidRPr="00275773">
        <w:rPr>
          <w:rFonts w:ascii="Palatino Linotype" w:hAnsi="Palatino Linotype" w:cs="Arial"/>
          <w:sz w:val="24"/>
          <w:szCs w:val="24"/>
        </w:rPr>
        <w:t>indagar</w:t>
      </w:r>
      <w:r w:rsidR="00712510" w:rsidRPr="00275773">
        <w:rPr>
          <w:rFonts w:ascii="Palatino Linotype" w:hAnsi="Palatino Linotype" w:cs="Arial"/>
          <w:b/>
          <w:sz w:val="24"/>
          <w:szCs w:val="24"/>
        </w:rPr>
        <w:t xml:space="preserve"> </w:t>
      </w:r>
      <w:r w:rsidR="00BA6377" w:rsidRPr="00275773">
        <w:rPr>
          <w:rFonts w:ascii="Palatino Linotype" w:hAnsi="Palatino Linotype" w:cs="Arial"/>
          <w:sz w:val="24"/>
          <w:szCs w:val="24"/>
        </w:rPr>
        <w:t xml:space="preserve">profundamente en el estudio del tema </w:t>
      </w:r>
      <w:r w:rsidR="00CF1A9B" w:rsidRPr="00275773">
        <w:rPr>
          <w:rFonts w:ascii="Palatino Linotype" w:hAnsi="Palatino Linotype" w:cs="Arial"/>
          <w:sz w:val="24"/>
          <w:szCs w:val="24"/>
        </w:rPr>
        <w:t>de</w:t>
      </w:r>
      <w:r w:rsidR="00BA6377" w:rsidRPr="00275773">
        <w:rPr>
          <w:rFonts w:ascii="Palatino Linotype" w:hAnsi="Palatino Linotype" w:cs="Arial"/>
          <w:sz w:val="24"/>
          <w:szCs w:val="24"/>
        </w:rPr>
        <w:t xml:space="preserve">l que versa la </w:t>
      </w:r>
      <w:r w:rsidR="00BA6377" w:rsidRPr="00275773">
        <w:rPr>
          <w:rFonts w:ascii="Palatino Linotype" w:hAnsi="Palatino Linotype" w:cs="Arial"/>
          <w:sz w:val="24"/>
          <w:szCs w:val="24"/>
        </w:rPr>
        <w:lastRenderedPageBreak/>
        <w:t>solicitud de informa</w:t>
      </w:r>
      <w:r w:rsidR="00DC7F66" w:rsidRPr="00275773">
        <w:rPr>
          <w:rFonts w:ascii="Palatino Linotype" w:hAnsi="Palatino Linotype" w:cs="Arial"/>
          <w:sz w:val="24"/>
          <w:szCs w:val="24"/>
        </w:rPr>
        <w:t>ción,</w:t>
      </w:r>
      <w:r w:rsidR="00CF1A9B">
        <w:rPr>
          <w:rFonts w:ascii="Palatino Linotype" w:hAnsi="Palatino Linotype" w:cs="Arial"/>
          <w:sz w:val="24"/>
          <w:szCs w:val="24"/>
        </w:rPr>
        <w:t xml:space="preserve"> tomando </w:t>
      </w:r>
      <w:r w:rsidR="00DC7F66">
        <w:rPr>
          <w:rFonts w:ascii="Palatino Linotype" w:hAnsi="Palatino Linotype" w:cs="Arial"/>
          <w:sz w:val="24"/>
          <w:szCs w:val="24"/>
        </w:rPr>
        <w:t>en consideración</w:t>
      </w:r>
      <w:r w:rsidR="00BA6377">
        <w:rPr>
          <w:rFonts w:ascii="Palatino Linotype" w:hAnsi="Palatino Linotype" w:cs="Arial"/>
          <w:sz w:val="24"/>
          <w:szCs w:val="24"/>
        </w:rPr>
        <w:t xml:space="preserve"> </w:t>
      </w:r>
      <w:r w:rsidR="00CF1A9B">
        <w:rPr>
          <w:rFonts w:ascii="Palatino Linotype" w:hAnsi="Palatino Linotype" w:cs="Arial"/>
          <w:sz w:val="24"/>
          <w:szCs w:val="24"/>
        </w:rPr>
        <w:t>que la</w:t>
      </w:r>
      <w:r w:rsidR="00BA6377">
        <w:rPr>
          <w:rFonts w:ascii="Palatino Linotype" w:hAnsi="Palatino Linotype" w:cs="Arial"/>
          <w:sz w:val="24"/>
          <w:szCs w:val="24"/>
        </w:rPr>
        <w:t xml:space="preserve"> violencia sexual en todas sus </w:t>
      </w:r>
      <w:r w:rsidR="00BA6377" w:rsidRPr="00BA6377">
        <w:rPr>
          <w:rFonts w:ascii="Palatino Linotype" w:hAnsi="Palatino Linotype" w:cs="Arial"/>
          <w:sz w:val="24"/>
          <w:szCs w:val="24"/>
        </w:rPr>
        <w:t>manifestaciones</w:t>
      </w:r>
      <w:r w:rsidR="00BA6377">
        <w:rPr>
          <w:rFonts w:ascii="Palatino Linotype" w:hAnsi="Palatino Linotype" w:cs="Arial"/>
          <w:sz w:val="24"/>
          <w:szCs w:val="24"/>
        </w:rPr>
        <w:t>,</w:t>
      </w:r>
      <w:r w:rsidR="00DC7F66">
        <w:rPr>
          <w:rFonts w:ascii="Palatino Linotype" w:hAnsi="Palatino Linotype" w:cs="Arial"/>
          <w:sz w:val="24"/>
          <w:szCs w:val="24"/>
        </w:rPr>
        <w:t xml:space="preserve"> </w:t>
      </w:r>
      <w:r w:rsidR="00CF1A9B">
        <w:rPr>
          <w:rFonts w:ascii="Palatino Linotype" w:hAnsi="Palatino Linotype" w:cs="Arial"/>
          <w:sz w:val="24"/>
          <w:szCs w:val="24"/>
        </w:rPr>
        <w:t xml:space="preserve"> es un </w:t>
      </w:r>
      <w:r w:rsidR="00DC7F66">
        <w:rPr>
          <w:rFonts w:ascii="Palatino Linotype" w:hAnsi="Palatino Linotype" w:cs="Arial"/>
          <w:sz w:val="24"/>
          <w:szCs w:val="24"/>
        </w:rPr>
        <w:t>tema sumamente delicado</w:t>
      </w:r>
      <w:r w:rsidR="00BA6377">
        <w:rPr>
          <w:rFonts w:ascii="Palatino Linotype" w:hAnsi="Palatino Linotype" w:cs="Arial"/>
          <w:sz w:val="24"/>
          <w:szCs w:val="24"/>
        </w:rPr>
        <w:t xml:space="preserve">, </w:t>
      </w:r>
      <w:r w:rsidR="00BA6377" w:rsidRPr="00BA6377">
        <w:rPr>
          <w:rFonts w:ascii="Palatino Linotype" w:hAnsi="Palatino Linotype" w:cs="Arial"/>
          <w:sz w:val="24"/>
          <w:szCs w:val="24"/>
        </w:rPr>
        <w:t>de tal manera que el Sujeto Obligado</w:t>
      </w:r>
      <w:r w:rsidR="00DC7F66">
        <w:rPr>
          <w:rFonts w:ascii="Palatino Linotype" w:hAnsi="Palatino Linotype" w:cs="Arial"/>
          <w:sz w:val="24"/>
          <w:szCs w:val="24"/>
        </w:rPr>
        <w:t>, en una actuación diligente y garantista pudo</w:t>
      </w:r>
      <w:r w:rsidR="00BA6377" w:rsidRPr="00BA6377">
        <w:rPr>
          <w:rFonts w:ascii="Palatino Linotype" w:hAnsi="Palatino Linotype" w:cs="Arial"/>
          <w:sz w:val="24"/>
          <w:szCs w:val="24"/>
        </w:rPr>
        <w:t xml:space="preserve"> haber buscado en diversas áreas </w:t>
      </w:r>
      <w:r w:rsidR="00BA6377">
        <w:rPr>
          <w:rFonts w:ascii="Palatino Linotype" w:hAnsi="Palatino Linotype" w:cs="Arial"/>
          <w:sz w:val="24"/>
          <w:szCs w:val="24"/>
        </w:rPr>
        <w:t xml:space="preserve">que comprenden </w:t>
      </w:r>
      <w:r w:rsidR="00BA6377" w:rsidRPr="00BA6377">
        <w:rPr>
          <w:rFonts w:ascii="Palatino Linotype" w:hAnsi="Palatino Linotype" w:cs="Arial"/>
          <w:sz w:val="24"/>
          <w:szCs w:val="24"/>
        </w:rPr>
        <w:t>su integración orgánica,</w:t>
      </w:r>
      <w:r w:rsidR="00DC7F66">
        <w:rPr>
          <w:rFonts w:ascii="Palatino Linotype" w:hAnsi="Palatino Linotype" w:cs="Arial"/>
          <w:sz w:val="24"/>
          <w:szCs w:val="24"/>
        </w:rPr>
        <w:t xml:space="preserve"> </w:t>
      </w:r>
      <w:r w:rsidR="00BA6377">
        <w:rPr>
          <w:rFonts w:ascii="Palatino Linotype" w:hAnsi="Palatino Linotype" w:cs="Arial"/>
          <w:sz w:val="24"/>
          <w:szCs w:val="24"/>
        </w:rPr>
        <w:t xml:space="preserve"> en</w:t>
      </w:r>
      <w:r w:rsidR="00BA6377" w:rsidRPr="00BA6377">
        <w:rPr>
          <w:rFonts w:ascii="Palatino Linotype" w:hAnsi="Palatino Linotype" w:cs="Arial"/>
          <w:sz w:val="24"/>
          <w:szCs w:val="24"/>
        </w:rPr>
        <w:t xml:space="preserve"> donde posiblemente se pudiera localizar la información concerniente a la prevención de violenc</w:t>
      </w:r>
      <w:r w:rsidR="001C7385">
        <w:rPr>
          <w:rFonts w:ascii="Palatino Linotype" w:hAnsi="Palatino Linotype" w:cs="Arial"/>
          <w:sz w:val="24"/>
          <w:szCs w:val="24"/>
        </w:rPr>
        <w:t>ia sexual</w:t>
      </w:r>
      <w:r w:rsidR="001C7385" w:rsidRPr="00275773">
        <w:rPr>
          <w:rFonts w:ascii="Palatino Linotype" w:hAnsi="Palatino Linotype" w:cs="Arial"/>
          <w:sz w:val="24"/>
          <w:szCs w:val="24"/>
        </w:rPr>
        <w:t xml:space="preserve">; hostigamiento y/o </w:t>
      </w:r>
      <w:r w:rsidR="00BA6377" w:rsidRPr="00275773">
        <w:rPr>
          <w:rFonts w:ascii="Palatino Linotype" w:hAnsi="Palatino Linotype" w:cs="Arial"/>
          <w:sz w:val="24"/>
          <w:szCs w:val="24"/>
        </w:rPr>
        <w:t>acoso sexual</w:t>
      </w:r>
      <w:r w:rsidR="00BA6377" w:rsidRPr="00BA6377">
        <w:rPr>
          <w:rFonts w:ascii="Palatino Linotype" w:hAnsi="Palatino Linotype" w:cs="Arial"/>
          <w:sz w:val="24"/>
          <w:szCs w:val="24"/>
        </w:rPr>
        <w:t>, cultura de la denuncia y todas a</w:t>
      </w:r>
      <w:r w:rsidR="00BA6377">
        <w:rPr>
          <w:rFonts w:ascii="Palatino Linotype" w:hAnsi="Palatino Linotype" w:cs="Arial"/>
          <w:sz w:val="24"/>
          <w:szCs w:val="24"/>
        </w:rPr>
        <w:t xml:space="preserve">quellas relativas al mismo tema. </w:t>
      </w:r>
      <w:r w:rsidR="00BA6377" w:rsidRPr="00BA6377">
        <w:rPr>
          <w:rFonts w:ascii="Palatino Linotype" w:hAnsi="Palatino Linotype"/>
          <w:sz w:val="24"/>
        </w:rPr>
        <w:t xml:space="preserve">Lo anterior, bajo </w:t>
      </w:r>
      <w:r w:rsidR="001C7385">
        <w:rPr>
          <w:rFonts w:ascii="Palatino Linotype" w:hAnsi="Palatino Linotype"/>
          <w:sz w:val="24"/>
        </w:rPr>
        <w:t>los siguientes argumentos:</w:t>
      </w:r>
    </w:p>
    <w:p w:rsidR="00BA6377" w:rsidRDefault="00BA6377" w:rsidP="00807E6D">
      <w:pPr>
        <w:pStyle w:val="Prrafodelista"/>
        <w:spacing w:after="0" w:line="360" w:lineRule="auto"/>
        <w:rPr>
          <w:rFonts w:ascii="Palatino Linotype" w:eastAsiaTheme="minorEastAsia" w:hAnsi="Palatino Linotype"/>
          <w:sz w:val="24"/>
          <w:szCs w:val="24"/>
          <w:lang w:val="es-ES_tradnl" w:eastAsia="es-ES"/>
        </w:rPr>
      </w:pPr>
    </w:p>
    <w:p w:rsidR="00BA6377" w:rsidRDefault="00BA6377" w:rsidP="00712510">
      <w:pPr>
        <w:numPr>
          <w:ilvl w:val="0"/>
          <w:numId w:val="17"/>
        </w:numPr>
        <w:spacing w:after="0" w:line="360" w:lineRule="auto"/>
        <w:contextualSpacing/>
        <w:jc w:val="both"/>
        <w:rPr>
          <w:rFonts w:ascii="Palatino Linotype" w:eastAsiaTheme="minorEastAsia" w:hAnsi="Palatino Linotype"/>
          <w:sz w:val="24"/>
          <w:szCs w:val="24"/>
          <w:lang w:val="es-ES_tradnl" w:eastAsia="es-ES"/>
        </w:rPr>
      </w:pPr>
      <w:r w:rsidRPr="00BA6377">
        <w:rPr>
          <w:rFonts w:ascii="Palatino Linotype" w:hAnsi="Palatino Linotype"/>
          <w:sz w:val="24"/>
        </w:rPr>
        <w:t>En princi</w:t>
      </w:r>
      <w:r w:rsidR="006A47A3">
        <w:rPr>
          <w:rFonts w:ascii="Palatino Linotype" w:hAnsi="Palatino Linotype"/>
          <w:sz w:val="24"/>
        </w:rPr>
        <w:t>pio, es menester referir que la violencia sexual</w:t>
      </w:r>
      <w:r w:rsidR="006A47A3" w:rsidRPr="00275773">
        <w:rPr>
          <w:rFonts w:ascii="Palatino Linotype" w:hAnsi="Palatino Linotype"/>
          <w:sz w:val="24"/>
        </w:rPr>
        <w:t xml:space="preserve">; </w:t>
      </w:r>
      <w:r w:rsidR="00EA562E" w:rsidRPr="00275773">
        <w:rPr>
          <w:rFonts w:ascii="Palatino Linotype" w:hAnsi="Palatino Linotype"/>
          <w:sz w:val="24"/>
        </w:rPr>
        <w:t>el</w:t>
      </w:r>
      <w:r w:rsidR="00EA562E">
        <w:rPr>
          <w:rFonts w:ascii="Palatino Linotype" w:hAnsi="Palatino Linotype"/>
          <w:sz w:val="24"/>
        </w:rPr>
        <w:t xml:space="preserve"> </w:t>
      </w:r>
      <w:r w:rsidRPr="00BA6377">
        <w:rPr>
          <w:rFonts w:ascii="Palatino Linotype" w:hAnsi="Palatino Linotype"/>
          <w:sz w:val="24"/>
        </w:rPr>
        <w:t xml:space="preserve">acoso sexual o </w:t>
      </w:r>
      <w:r w:rsidR="00EA562E">
        <w:rPr>
          <w:rFonts w:ascii="Palatino Linotype" w:hAnsi="Palatino Linotype"/>
          <w:sz w:val="24"/>
        </w:rPr>
        <w:t xml:space="preserve">el </w:t>
      </w:r>
      <w:r w:rsidRPr="00BA6377">
        <w:rPr>
          <w:rFonts w:ascii="Palatino Linotype" w:hAnsi="Palatino Linotype"/>
          <w:sz w:val="24"/>
        </w:rPr>
        <w:t xml:space="preserve">hostigamiento sexual, son una representación de violencia por medio de conductas específicas que </w:t>
      </w:r>
      <w:r w:rsidR="006A47A3">
        <w:rPr>
          <w:rFonts w:ascii="Palatino Linotype" w:hAnsi="Palatino Linotype"/>
          <w:sz w:val="24"/>
        </w:rPr>
        <w:t xml:space="preserve">dañan </w:t>
      </w:r>
      <w:r w:rsidR="00B4479E">
        <w:rPr>
          <w:rFonts w:ascii="Palatino Linotype" w:hAnsi="Palatino Linotype"/>
          <w:sz w:val="24"/>
        </w:rPr>
        <w:t>la esfera más íntima de Derechos Humanos y por ende</w:t>
      </w:r>
      <w:r w:rsidR="008A69CD">
        <w:rPr>
          <w:rFonts w:ascii="Palatino Linotype" w:hAnsi="Palatino Linotype"/>
          <w:sz w:val="24"/>
        </w:rPr>
        <w:t>,</w:t>
      </w:r>
      <w:r w:rsidR="006A47A3">
        <w:rPr>
          <w:rFonts w:ascii="Palatino Linotype" w:hAnsi="Palatino Linotype"/>
          <w:sz w:val="24"/>
        </w:rPr>
        <w:t xml:space="preserve"> </w:t>
      </w:r>
      <w:r w:rsidRPr="00BA6377">
        <w:rPr>
          <w:rFonts w:ascii="Palatino Linotype" w:hAnsi="Palatino Linotype"/>
          <w:sz w:val="24"/>
        </w:rPr>
        <w:t xml:space="preserve">deben de ser </w:t>
      </w:r>
      <w:r w:rsidR="00B4479E">
        <w:rPr>
          <w:rFonts w:ascii="Palatino Linotype" w:hAnsi="Palatino Linotype"/>
          <w:sz w:val="24"/>
        </w:rPr>
        <w:t xml:space="preserve">castigadas y </w:t>
      </w:r>
      <w:r w:rsidRPr="00BA6377">
        <w:rPr>
          <w:rFonts w:ascii="Palatino Linotype" w:hAnsi="Palatino Linotype"/>
          <w:sz w:val="24"/>
        </w:rPr>
        <w:t xml:space="preserve">sancionadas. </w:t>
      </w:r>
    </w:p>
    <w:p w:rsidR="00BA6377" w:rsidRDefault="00BA6377" w:rsidP="00712510">
      <w:pPr>
        <w:pStyle w:val="Prrafodelista"/>
        <w:spacing w:after="0" w:line="360" w:lineRule="auto"/>
        <w:rPr>
          <w:rFonts w:ascii="Palatino Linotype" w:hAnsi="Palatino Linotype"/>
          <w:sz w:val="24"/>
        </w:rPr>
      </w:pPr>
    </w:p>
    <w:p w:rsidR="00BA6377" w:rsidRPr="00BA6377" w:rsidRDefault="00BA6377" w:rsidP="00D0304D">
      <w:pPr>
        <w:numPr>
          <w:ilvl w:val="0"/>
          <w:numId w:val="17"/>
        </w:numPr>
        <w:spacing w:after="0" w:line="360" w:lineRule="auto"/>
        <w:contextualSpacing/>
        <w:jc w:val="both"/>
        <w:rPr>
          <w:rFonts w:ascii="Palatino Linotype" w:eastAsiaTheme="minorEastAsia" w:hAnsi="Palatino Linotype"/>
          <w:sz w:val="24"/>
          <w:szCs w:val="24"/>
          <w:lang w:val="es-ES_tradnl" w:eastAsia="es-ES"/>
        </w:rPr>
      </w:pPr>
      <w:r>
        <w:rPr>
          <w:rFonts w:ascii="Palatino Linotype" w:hAnsi="Palatino Linotype"/>
          <w:sz w:val="24"/>
        </w:rPr>
        <w:t>La</w:t>
      </w:r>
      <w:r w:rsidRPr="00BA6377">
        <w:rPr>
          <w:rFonts w:ascii="Palatino Linotype" w:hAnsi="Palatino Linotype"/>
          <w:sz w:val="24"/>
        </w:rPr>
        <w:t xml:space="preserve"> violencia sexual se entiende como una acción u omisión que involucra las características sexuales y que además de reflejar nuestra realidad social, daña de manera directa la vida, la integridad física, psíquica, moral o social de una persona, la libertad, su honra y dignidad, con lo cual se discrimina a la persona y se violentan sus derechos humanos</w:t>
      </w:r>
      <w:r w:rsidRPr="00BA6377">
        <w:rPr>
          <w:vertAlign w:val="superscript"/>
        </w:rPr>
        <w:footnoteReference w:id="1"/>
      </w:r>
      <w:r>
        <w:rPr>
          <w:rFonts w:ascii="Palatino Linotype" w:hAnsi="Palatino Linotype"/>
          <w:sz w:val="24"/>
        </w:rPr>
        <w:t>, manifestándose en diversos tejidos sociales y de distintas maneras.</w:t>
      </w:r>
    </w:p>
    <w:p w:rsidR="00BA6377" w:rsidRDefault="00BA6377" w:rsidP="00807E6D">
      <w:pPr>
        <w:pStyle w:val="Prrafodelista"/>
        <w:spacing w:after="0" w:line="360" w:lineRule="auto"/>
        <w:rPr>
          <w:rFonts w:ascii="Palatino Linotype" w:eastAsiaTheme="minorEastAsia" w:hAnsi="Palatino Linotype"/>
          <w:sz w:val="24"/>
          <w:szCs w:val="24"/>
          <w:lang w:val="es-ES_tradnl" w:eastAsia="es-ES"/>
        </w:rPr>
      </w:pPr>
    </w:p>
    <w:p w:rsidR="00B4479E" w:rsidRPr="00275773" w:rsidRDefault="00B4479E" w:rsidP="00B4479E">
      <w:pPr>
        <w:pStyle w:val="Prrafodelista"/>
        <w:numPr>
          <w:ilvl w:val="0"/>
          <w:numId w:val="17"/>
        </w:numPr>
        <w:spacing w:after="0" w:line="360" w:lineRule="auto"/>
        <w:jc w:val="both"/>
        <w:rPr>
          <w:rFonts w:ascii="Palatino Linotype" w:hAnsi="Palatino Linotype"/>
          <w:sz w:val="24"/>
          <w:szCs w:val="24"/>
        </w:rPr>
      </w:pPr>
      <w:r w:rsidRPr="00275773">
        <w:rPr>
          <w:rFonts w:ascii="Palatino Linotype" w:hAnsi="Palatino Linotype"/>
          <w:sz w:val="24"/>
          <w:szCs w:val="24"/>
        </w:rPr>
        <w:lastRenderedPageBreak/>
        <w:t xml:space="preserve">Es menester señalar que la manifestación de violencia </w:t>
      </w:r>
      <w:r w:rsidR="008A69CD" w:rsidRPr="00275773">
        <w:rPr>
          <w:rFonts w:ascii="Palatino Linotype" w:hAnsi="Palatino Linotype"/>
          <w:sz w:val="24"/>
          <w:szCs w:val="24"/>
        </w:rPr>
        <w:t xml:space="preserve">en </w:t>
      </w:r>
      <w:r w:rsidRPr="00275773">
        <w:rPr>
          <w:rFonts w:ascii="Palatino Linotype" w:hAnsi="Palatino Linotype"/>
          <w:sz w:val="24"/>
          <w:szCs w:val="24"/>
        </w:rPr>
        <w:t xml:space="preserve">sentido sexual, se configuran </w:t>
      </w:r>
      <w:r w:rsidR="008A69CD" w:rsidRPr="00275773">
        <w:rPr>
          <w:rFonts w:ascii="Palatino Linotype" w:hAnsi="Palatino Linotype"/>
          <w:sz w:val="24"/>
          <w:szCs w:val="24"/>
        </w:rPr>
        <w:t xml:space="preserve">como conductas típicas, antijurídicas, culpables y punibles, </w:t>
      </w:r>
      <w:r w:rsidR="00CF1A9B" w:rsidRPr="00275773">
        <w:rPr>
          <w:rFonts w:ascii="Palatino Linotype" w:hAnsi="Palatino Linotype"/>
          <w:sz w:val="24"/>
          <w:szCs w:val="24"/>
        </w:rPr>
        <w:t>que deben de ser conocidas y castigadas</w:t>
      </w:r>
      <w:r w:rsidRPr="00275773">
        <w:rPr>
          <w:rFonts w:ascii="Palatino Linotype" w:hAnsi="Palatino Linotype"/>
          <w:sz w:val="24"/>
          <w:szCs w:val="24"/>
        </w:rPr>
        <w:t xml:space="preserve"> por las autoridades competentes, </w:t>
      </w:r>
      <w:r w:rsidR="008A69CD" w:rsidRPr="00275773">
        <w:rPr>
          <w:rFonts w:ascii="Palatino Linotype" w:hAnsi="Palatino Linotype"/>
          <w:sz w:val="24"/>
          <w:szCs w:val="24"/>
        </w:rPr>
        <w:t xml:space="preserve">en otras palabras, el </w:t>
      </w:r>
      <w:r w:rsidRPr="00275773">
        <w:rPr>
          <w:rFonts w:ascii="Palatino Linotype" w:hAnsi="Palatino Linotype"/>
          <w:sz w:val="24"/>
          <w:szCs w:val="24"/>
        </w:rPr>
        <w:t xml:space="preserve">Código Penal del Estado de México enuncia y enmarca como </w:t>
      </w:r>
      <w:r w:rsidR="008A69CD" w:rsidRPr="00275773">
        <w:rPr>
          <w:rFonts w:ascii="Palatino Linotype" w:hAnsi="Palatino Linotype"/>
          <w:sz w:val="24"/>
          <w:szCs w:val="24"/>
        </w:rPr>
        <w:t>delitos a todos aquellos que atentan contra</w:t>
      </w:r>
      <w:r w:rsidR="00CF1A9B" w:rsidRPr="00275773">
        <w:rPr>
          <w:rFonts w:ascii="Palatino Linotype" w:hAnsi="Palatino Linotype"/>
          <w:sz w:val="24"/>
          <w:szCs w:val="24"/>
        </w:rPr>
        <w:t xml:space="preserve"> la libertad sexual, como el </w:t>
      </w:r>
      <w:r w:rsidR="008A69CD" w:rsidRPr="00275773">
        <w:rPr>
          <w:rFonts w:ascii="Palatino Linotype" w:hAnsi="Palatino Linotype"/>
          <w:sz w:val="24"/>
          <w:szCs w:val="24"/>
        </w:rPr>
        <w:t>“H</w:t>
      </w:r>
      <w:r w:rsidRPr="00275773">
        <w:rPr>
          <w:rFonts w:ascii="Palatino Linotype" w:hAnsi="Palatino Linotype"/>
          <w:sz w:val="24"/>
          <w:szCs w:val="24"/>
        </w:rPr>
        <w:t>ostigamiento</w:t>
      </w:r>
      <w:r w:rsidR="008A69CD" w:rsidRPr="00275773">
        <w:rPr>
          <w:rFonts w:ascii="Palatino Linotype" w:hAnsi="Palatino Linotype"/>
          <w:sz w:val="24"/>
          <w:szCs w:val="24"/>
        </w:rPr>
        <w:t xml:space="preserve"> y</w:t>
      </w:r>
      <w:r w:rsidRPr="00275773">
        <w:rPr>
          <w:rFonts w:ascii="Palatino Linotype" w:hAnsi="Palatino Linotype"/>
          <w:sz w:val="24"/>
          <w:szCs w:val="24"/>
        </w:rPr>
        <w:t xml:space="preserve"> </w:t>
      </w:r>
      <w:r w:rsidR="008A69CD" w:rsidRPr="00275773">
        <w:rPr>
          <w:rFonts w:ascii="Palatino Linotype" w:hAnsi="Palatino Linotype"/>
          <w:sz w:val="24"/>
          <w:szCs w:val="24"/>
        </w:rPr>
        <w:t xml:space="preserve">Acoso Sexual”.   </w:t>
      </w:r>
    </w:p>
    <w:p w:rsidR="00B4479E" w:rsidRPr="00DC7F66" w:rsidRDefault="00B4479E" w:rsidP="00B4479E">
      <w:pPr>
        <w:pStyle w:val="Prrafodelista"/>
        <w:rPr>
          <w:rFonts w:ascii="Palatino Linotype" w:hAnsi="Palatino Linotype"/>
          <w:sz w:val="24"/>
          <w:szCs w:val="24"/>
        </w:rPr>
      </w:pPr>
    </w:p>
    <w:p w:rsidR="00C10C05" w:rsidRPr="00DC7F66" w:rsidRDefault="00807E6D" w:rsidP="00712510">
      <w:pPr>
        <w:pStyle w:val="Prrafodelista"/>
        <w:numPr>
          <w:ilvl w:val="0"/>
          <w:numId w:val="17"/>
        </w:numPr>
        <w:spacing w:after="0" w:line="360" w:lineRule="auto"/>
        <w:jc w:val="both"/>
        <w:rPr>
          <w:rFonts w:ascii="Palatino Linotype" w:hAnsi="Palatino Linotype"/>
          <w:sz w:val="24"/>
          <w:szCs w:val="24"/>
        </w:rPr>
      </w:pPr>
      <w:r w:rsidRPr="00DC7F66">
        <w:rPr>
          <w:rFonts w:ascii="Palatino Linotype" w:hAnsi="Palatino Linotype"/>
          <w:sz w:val="24"/>
          <w:szCs w:val="24"/>
        </w:rPr>
        <w:t>Relativo al caso concreto que nos ocupa, l</w:t>
      </w:r>
      <w:r w:rsidR="00C10C05" w:rsidRPr="00DC7F66">
        <w:rPr>
          <w:rFonts w:ascii="Palatino Linotype" w:hAnsi="Palatino Linotype"/>
          <w:sz w:val="24"/>
          <w:szCs w:val="24"/>
        </w:rPr>
        <w:t xml:space="preserve">a violencia sexual en las instituciones educativas, primero ocurren en el marco de relaciones de poder construidas por la diferencia </w:t>
      </w:r>
      <w:r w:rsidR="00C10C05" w:rsidRPr="00275773">
        <w:rPr>
          <w:rFonts w:ascii="Palatino Linotype" w:hAnsi="Palatino Linotype"/>
          <w:sz w:val="24"/>
          <w:szCs w:val="24"/>
        </w:rPr>
        <w:t>de edad, género</w:t>
      </w:r>
      <w:r w:rsidR="00C10C05" w:rsidRPr="00DC7F66">
        <w:rPr>
          <w:rFonts w:ascii="Palatino Linotype" w:hAnsi="Palatino Linotype"/>
          <w:sz w:val="24"/>
          <w:szCs w:val="24"/>
        </w:rPr>
        <w:t xml:space="preserve"> y aquellos elementos altamente jerarquizados, en este sentido, hablamos de una relación de subordinación entre los profesores que representan una figura de autoridad, frente a un subordinado que es representado bajo la figura del estudiante. </w:t>
      </w:r>
    </w:p>
    <w:p w:rsidR="00C10C05" w:rsidRPr="00DC7F66" w:rsidRDefault="00C10C05" w:rsidP="00C10C05">
      <w:pPr>
        <w:pStyle w:val="Prrafodelista"/>
        <w:rPr>
          <w:rFonts w:ascii="Palatino Linotype" w:hAnsi="Palatino Linotype"/>
          <w:sz w:val="24"/>
          <w:szCs w:val="24"/>
        </w:rPr>
      </w:pPr>
    </w:p>
    <w:p w:rsidR="006A47A3" w:rsidRPr="00DC7F66" w:rsidRDefault="00F35A79" w:rsidP="006A47A3">
      <w:pPr>
        <w:pStyle w:val="Prrafodelista"/>
        <w:numPr>
          <w:ilvl w:val="0"/>
          <w:numId w:val="17"/>
        </w:numPr>
        <w:spacing w:after="0" w:line="360" w:lineRule="auto"/>
        <w:jc w:val="both"/>
        <w:rPr>
          <w:rFonts w:ascii="Palatino Linotype" w:hAnsi="Palatino Linotype"/>
          <w:sz w:val="24"/>
          <w:szCs w:val="24"/>
        </w:rPr>
      </w:pPr>
      <w:r w:rsidRPr="00DC7F66">
        <w:rPr>
          <w:rFonts w:ascii="Palatino Linotype" w:hAnsi="Palatino Linotype"/>
          <w:sz w:val="24"/>
          <w:szCs w:val="24"/>
        </w:rPr>
        <w:t xml:space="preserve">Al tenor de lo anterior, </w:t>
      </w:r>
      <w:r w:rsidR="00BA6377" w:rsidRPr="00DC7F66">
        <w:rPr>
          <w:rFonts w:ascii="Palatino Linotype" w:hAnsi="Palatino Linotype"/>
          <w:sz w:val="24"/>
          <w:szCs w:val="24"/>
        </w:rPr>
        <w:t xml:space="preserve">es </w:t>
      </w:r>
      <w:r w:rsidR="008A69CD" w:rsidRPr="00DC7F66">
        <w:rPr>
          <w:rFonts w:ascii="Palatino Linotype" w:hAnsi="Palatino Linotype"/>
          <w:sz w:val="24"/>
          <w:szCs w:val="24"/>
        </w:rPr>
        <w:t>trascendente</w:t>
      </w:r>
      <w:r w:rsidRPr="00DC7F66">
        <w:rPr>
          <w:rFonts w:ascii="Palatino Linotype" w:hAnsi="Palatino Linotype"/>
          <w:sz w:val="24"/>
          <w:szCs w:val="24"/>
        </w:rPr>
        <w:t xml:space="preserve"> </w:t>
      </w:r>
      <w:r w:rsidR="00BA6377" w:rsidRPr="00DC7F66">
        <w:rPr>
          <w:rFonts w:ascii="Palatino Linotype" w:hAnsi="Palatino Linotype"/>
          <w:sz w:val="24"/>
          <w:szCs w:val="24"/>
        </w:rPr>
        <w:t xml:space="preserve">señalar </w:t>
      </w:r>
      <w:r w:rsidR="00712510" w:rsidRPr="00DC7F66">
        <w:rPr>
          <w:rFonts w:ascii="Palatino Linotype" w:hAnsi="Palatino Linotype"/>
          <w:sz w:val="24"/>
          <w:szCs w:val="24"/>
        </w:rPr>
        <w:t xml:space="preserve">la importancia que recae en la implementación de los programas y proyectos escolares en contra de la violencia sexual; hostigamiento y/o acoso sexual. </w:t>
      </w:r>
    </w:p>
    <w:p w:rsidR="00067BC9" w:rsidRPr="00DC7F66" w:rsidRDefault="00067BC9" w:rsidP="006A47A3">
      <w:pPr>
        <w:pStyle w:val="Prrafodelista"/>
        <w:spacing w:after="0"/>
        <w:rPr>
          <w:rFonts w:ascii="Palatino Linotype" w:hAnsi="Palatino Linotype"/>
          <w:sz w:val="24"/>
          <w:szCs w:val="24"/>
        </w:rPr>
      </w:pPr>
    </w:p>
    <w:p w:rsidR="00467D7C" w:rsidRPr="008A69CD" w:rsidRDefault="00067BC9" w:rsidP="00A64C70">
      <w:pPr>
        <w:pStyle w:val="Prrafodelista"/>
        <w:numPr>
          <w:ilvl w:val="0"/>
          <w:numId w:val="17"/>
        </w:numPr>
        <w:spacing w:after="0" w:line="360" w:lineRule="auto"/>
        <w:jc w:val="both"/>
        <w:rPr>
          <w:rFonts w:ascii="Palatino Linotype" w:hAnsi="Palatino Linotype"/>
          <w:sz w:val="24"/>
        </w:rPr>
      </w:pPr>
      <w:r w:rsidRPr="008A69CD">
        <w:rPr>
          <w:rFonts w:ascii="Palatino Linotype" w:hAnsi="Palatino Linotype"/>
          <w:sz w:val="24"/>
        </w:rPr>
        <w:t>Es de referir, que un entorno escolar óptimo es sumamente indispensable</w:t>
      </w:r>
      <w:r w:rsidR="00467D7C" w:rsidRPr="008A69CD">
        <w:rPr>
          <w:rFonts w:ascii="Palatino Linotype" w:hAnsi="Palatino Linotype"/>
          <w:sz w:val="24"/>
        </w:rPr>
        <w:t xml:space="preserve"> para el desarrollo </w:t>
      </w:r>
      <w:r w:rsidR="00A64C70" w:rsidRPr="008A69CD">
        <w:rPr>
          <w:rFonts w:ascii="Palatino Linotype" w:hAnsi="Palatino Linotype"/>
          <w:sz w:val="24"/>
        </w:rPr>
        <w:t xml:space="preserve">personal, psicológico e intelectual </w:t>
      </w:r>
      <w:r w:rsidR="00467D7C" w:rsidRPr="008A69CD">
        <w:rPr>
          <w:rFonts w:ascii="Palatino Linotype" w:hAnsi="Palatino Linotype"/>
          <w:sz w:val="24"/>
        </w:rPr>
        <w:t>de cualquier estudiante,</w:t>
      </w:r>
      <w:r w:rsidRPr="008A69CD">
        <w:rPr>
          <w:rFonts w:ascii="Palatino Linotype" w:hAnsi="Palatino Linotype"/>
          <w:sz w:val="24"/>
        </w:rPr>
        <w:t xml:space="preserve"> </w:t>
      </w:r>
      <w:r w:rsidR="00A64C70" w:rsidRPr="008A69CD">
        <w:rPr>
          <w:rFonts w:ascii="Palatino Linotype" w:hAnsi="Palatino Linotype"/>
          <w:sz w:val="24"/>
        </w:rPr>
        <w:t xml:space="preserve">ya que </w:t>
      </w:r>
      <w:r w:rsidRPr="008A69CD">
        <w:rPr>
          <w:rFonts w:ascii="Palatino Linotype" w:hAnsi="Palatino Linotype"/>
          <w:sz w:val="24"/>
        </w:rPr>
        <w:t xml:space="preserve">a través de </w:t>
      </w:r>
      <w:r w:rsidR="00CF1A9B">
        <w:rPr>
          <w:rFonts w:ascii="Palatino Linotype" w:hAnsi="Palatino Linotype"/>
          <w:sz w:val="24"/>
        </w:rPr>
        <w:t>e</w:t>
      </w:r>
      <w:r w:rsidR="00807E6D" w:rsidRPr="008A69CD">
        <w:rPr>
          <w:rFonts w:ascii="Palatino Linotype" w:hAnsi="Palatino Linotype"/>
          <w:sz w:val="24"/>
        </w:rPr>
        <w:t>ste se genera</w:t>
      </w:r>
      <w:r w:rsidRPr="008A69CD">
        <w:rPr>
          <w:rFonts w:ascii="Palatino Linotype" w:hAnsi="Palatino Linotype"/>
          <w:sz w:val="24"/>
        </w:rPr>
        <w:t xml:space="preserve"> la seguridad</w:t>
      </w:r>
      <w:r w:rsidR="006A47A3" w:rsidRPr="008A69CD">
        <w:rPr>
          <w:rFonts w:ascii="Palatino Linotype" w:hAnsi="Palatino Linotype"/>
          <w:sz w:val="24"/>
        </w:rPr>
        <w:t xml:space="preserve"> individual</w:t>
      </w:r>
      <w:r w:rsidRPr="008A69CD">
        <w:rPr>
          <w:rFonts w:ascii="Palatino Linotype" w:hAnsi="Palatino Linotype"/>
          <w:sz w:val="24"/>
        </w:rPr>
        <w:t>, la inclusión</w:t>
      </w:r>
      <w:r w:rsidR="006A47A3" w:rsidRPr="008A69CD">
        <w:rPr>
          <w:rFonts w:ascii="Palatino Linotype" w:hAnsi="Palatino Linotype"/>
          <w:sz w:val="24"/>
        </w:rPr>
        <w:t xml:space="preserve"> </w:t>
      </w:r>
      <w:r w:rsidRPr="008A69CD">
        <w:rPr>
          <w:rFonts w:ascii="Palatino Linotype" w:hAnsi="Palatino Linotype"/>
          <w:sz w:val="24"/>
        </w:rPr>
        <w:t>y la convivencia</w:t>
      </w:r>
      <w:r w:rsidR="00680707">
        <w:rPr>
          <w:rFonts w:ascii="Palatino Linotype" w:hAnsi="Palatino Linotype"/>
          <w:sz w:val="24"/>
        </w:rPr>
        <w:t xml:space="preserve"> social</w:t>
      </w:r>
      <w:r w:rsidR="00A64C70" w:rsidRPr="008A69CD">
        <w:rPr>
          <w:rFonts w:ascii="Palatino Linotype" w:hAnsi="Palatino Linotype"/>
          <w:sz w:val="24"/>
        </w:rPr>
        <w:t>.</w:t>
      </w:r>
      <w:r w:rsidR="006A47A3" w:rsidRPr="008A69CD">
        <w:rPr>
          <w:rFonts w:ascii="Palatino Linotype" w:hAnsi="Palatino Linotype"/>
          <w:sz w:val="24"/>
        </w:rPr>
        <w:t xml:space="preserve"> </w:t>
      </w:r>
    </w:p>
    <w:p w:rsidR="00467D7C" w:rsidRPr="00467D7C" w:rsidRDefault="00467D7C" w:rsidP="00467D7C">
      <w:pPr>
        <w:pStyle w:val="Prrafodelista"/>
        <w:spacing w:after="0" w:line="360" w:lineRule="auto"/>
        <w:ind w:left="360"/>
        <w:jc w:val="both"/>
        <w:rPr>
          <w:rFonts w:ascii="Palatino Linotype" w:hAnsi="Palatino Linotype"/>
        </w:rPr>
      </w:pPr>
    </w:p>
    <w:p w:rsidR="00A64C70" w:rsidRDefault="00467D7C" w:rsidP="00807E6D">
      <w:pPr>
        <w:pStyle w:val="Prrafodelista"/>
        <w:numPr>
          <w:ilvl w:val="0"/>
          <w:numId w:val="17"/>
        </w:numPr>
        <w:spacing w:after="0" w:line="360" w:lineRule="auto"/>
        <w:jc w:val="both"/>
        <w:rPr>
          <w:rFonts w:ascii="Palatino Linotype" w:hAnsi="Palatino Linotype"/>
          <w:sz w:val="24"/>
        </w:rPr>
      </w:pPr>
      <w:r>
        <w:rPr>
          <w:rFonts w:ascii="Palatino Linotype" w:hAnsi="Palatino Linotype"/>
          <w:sz w:val="24"/>
        </w:rPr>
        <w:lastRenderedPageBreak/>
        <w:t>Un adecuado entorno escolar, lo componen diversos aspectos entre ellos; la infraestructura, las buenas relaciones entre estudiantes - estudiantes y estudiantes - docentes, así como las actividades académicas motivadoras, incluyentes, informativas y preventivas, con el fin de garantizar la buena educac</w:t>
      </w:r>
      <w:r w:rsidR="006A47A3">
        <w:rPr>
          <w:rFonts w:ascii="Palatino Linotype" w:hAnsi="Palatino Linotype"/>
          <w:sz w:val="24"/>
        </w:rPr>
        <w:t xml:space="preserve">ión y orientación de la comunidad escolar. </w:t>
      </w:r>
    </w:p>
    <w:p w:rsidR="00A64C70" w:rsidRPr="00A64C70" w:rsidRDefault="00A64C70" w:rsidP="00007265">
      <w:pPr>
        <w:spacing w:after="0" w:line="360" w:lineRule="auto"/>
        <w:jc w:val="both"/>
        <w:rPr>
          <w:rFonts w:ascii="Palatino Linotype" w:hAnsi="Palatino Linotype"/>
          <w:sz w:val="24"/>
        </w:rPr>
      </w:pPr>
    </w:p>
    <w:p w:rsidR="00007265" w:rsidRPr="00646525" w:rsidRDefault="00A64C70" w:rsidP="00807E6D">
      <w:pPr>
        <w:pStyle w:val="Prrafodelista"/>
        <w:numPr>
          <w:ilvl w:val="0"/>
          <w:numId w:val="17"/>
        </w:numPr>
        <w:spacing w:after="0" w:line="360" w:lineRule="auto"/>
        <w:jc w:val="both"/>
        <w:rPr>
          <w:rFonts w:ascii="Palatino Linotype" w:hAnsi="Palatino Linotype"/>
          <w:sz w:val="24"/>
        </w:rPr>
      </w:pPr>
      <w:r w:rsidRPr="00646525">
        <w:rPr>
          <w:rFonts w:ascii="Palatino Linotype" w:hAnsi="Palatino Linotype"/>
          <w:sz w:val="24"/>
        </w:rPr>
        <w:t xml:space="preserve">Respecto al caso concreto que </w:t>
      </w:r>
      <w:r w:rsidR="00007265" w:rsidRPr="00646525">
        <w:rPr>
          <w:rFonts w:ascii="Palatino Linotype" w:hAnsi="Palatino Linotype"/>
          <w:sz w:val="24"/>
        </w:rPr>
        <w:t>nos ocupa, la implementación de programas relativo</w:t>
      </w:r>
      <w:r w:rsidR="00B0386B" w:rsidRPr="00646525">
        <w:rPr>
          <w:rFonts w:ascii="Palatino Linotype" w:hAnsi="Palatino Linotype"/>
          <w:sz w:val="24"/>
        </w:rPr>
        <w:t xml:space="preserve">s a </w:t>
      </w:r>
      <w:r w:rsidR="00807E6D" w:rsidRPr="00646525">
        <w:rPr>
          <w:rFonts w:ascii="Palatino Linotype" w:hAnsi="Palatino Linotype"/>
          <w:sz w:val="24"/>
        </w:rPr>
        <w:t>pláticas informativas, conferencias, mesas de diálogo con</w:t>
      </w:r>
      <w:r w:rsidR="00B0386B" w:rsidRPr="00646525">
        <w:rPr>
          <w:rFonts w:ascii="Palatino Linotype" w:hAnsi="Palatino Linotype"/>
          <w:sz w:val="24"/>
        </w:rPr>
        <w:t xml:space="preserve"> relaci</w:t>
      </w:r>
      <w:r w:rsidR="00807E6D" w:rsidRPr="00646525">
        <w:rPr>
          <w:rFonts w:ascii="Palatino Linotype" w:hAnsi="Palatino Linotype"/>
          <w:sz w:val="24"/>
        </w:rPr>
        <w:t>ón a</w:t>
      </w:r>
      <w:r w:rsidR="00B0386B" w:rsidRPr="00646525">
        <w:rPr>
          <w:rFonts w:ascii="Palatino Linotype" w:hAnsi="Palatino Linotype"/>
          <w:sz w:val="24"/>
        </w:rPr>
        <w:t xml:space="preserve"> la prevención de la violencia sexual</w:t>
      </w:r>
      <w:r w:rsidR="008A69CD" w:rsidRPr="00646525">
        <w:rPr>
          <w:rFonts w:ascii="Palatino Linotype" w:hAnsi="Palatino Linotype"/>
          <w:sz w:val="24"/>
        </w:rPr>
        <w:t>,</w:t>
      </w:r>
      <w:r w:rsidR="00B0386B" w:rsidRPr="00646525">
        <w:rPr>
          <w:rFonts w:ascii="Palatino Linotype" w:hAnsi="Palatino Linotype"/>
          <w:sz w:val="24"/>
        </w:rPr>
        <w:t xml:space="preserve"> son </w:t>
      </w:r>
      <w:r w:rsidR="00007265" w:rsidRPr="00646525">
        <w:rPr>
          <w:rFonts w:ascii="Palatino Linotype" w:hAnsi="Palatino Linotype"/>
          <w:sz w:val="24"/>
        </w:rPr>
        <w:t xml:space="preserve">sumamente indispensables para concientizar a los que conforman la comunidad </w:t>
      </w:r>
      <w:r w:rsidR="006A47A3" w:rsidRPr="00646525">
        <w:rPr>
          <w:rFonts w:ascii="Palatino Linotype" w:hAnsi="Palatino Linotype"/>
          <w:sz w:val="24"/>
        </w:rPr>
        <w:t>escolar</w:t>
      </w:r>
      <w:r w:rsidR="00007265" w:rsidRPr="00646525">
        <w:rPr>
          <w:rFonts w:ascii="Palatino Linotype" w:hAnsi="Palatino Linotype"/>
          <w:sz w:val="24"/>
        </w:rPr>
        <w:t xml:space="preserve"> acerca del impacto nocivo de la violencia</w:t>
      </w:r>
      <w:r w:rsidR="00680707" w:rsidRPr="00646525">
        <w:rPr>
          <w:rFonts w:ascii="Palatino Linotype" w:hAnsi="Palatino Linotype"/>
          <w:sz w:val="24"/>
        </w:rPr>
        <w:t xml:space="preserve"> de índole</w:t>
      </w:r>
      <w:r w:rsidR="00007265" w:rsidRPr="00646525">
        <w:rPr>
          <w:rFonts w:ascii="Palatino Linotype" w:hAnsi="Palatino Linotype"/>
          <w:sz w:val="24"/>
        </w:rPr>
        <w:t xml:space="preserve"> sexual y con ello</w:t>
      </w:r>
      <w:r w:rsidR="00680707" w:rsidRPr="00646525">
        <w:rPr>
          <w:rFonts w:ascii="Palatino Linotype" w:hAnsi="Palatino Linotype"/>
          <w:sz w:val="24"/>
        </w:rPr>
        <w:t>,</w:t>
      </w:r>
      <w:r w:rsidR="00007265" w:rsidRPr="00646525">
        <w:rPr>
          <w:rFonts w:ascii="Palatino Linotype" w:hAnsi="Palatino Linotype"/>
          <w:sz w:val="24"/>
        </w:rPr>
        <w:t xml:space="preserve"> fomentar la cultura de la denuncia. </w:t>
      </w:r>
    </w:p>
    <w:p w:rsidR="00007265" w:rsidRPr="00646525" w:rsidRDefault="00007265" w:rsidP="00807E6D">
      <w:pPr>
        <w:pStyle w:val="Prrafodelista"/>
        <w:spacing w:after="0" w:line="360" w:lineRule="auto"/>
        <w:ind w:left="360"/>
        <w:jc w:val="both"/>
        <w:rPr>
          <w:rFonts w:ascii="Palatino Linotype" w:hAnsi="Palatino Linotype"/>
          <w:sz w:val="24"/>
        </w:rPr>
      </w:pPr>
    </w:p>
    <w:p w:rsidR="00007265" w:rsidRPr="00646525" w:rsidRDefault="00DC7F66" w:rsidP="00D0304D">
      <w:pPr>
        <w:pStyle w:val="Prrafodelista"/>
        <w:numPr>
          <w:ilvl w:val="0"/>
          <w:numId w:val="17"/>
        </w:numPr>
        <w:spacing w:line="360" w:lineRule="auto"/>
        <w:jc w:val="both"/>
        <w:rPr>
          <w:rFonts w:ascii="Palatino Linotype" w:hAnsi="Palatino Linotype"/>
          <w:sz w:val="24"/>
        </w:rPr>
      </w:pPr>
      <w:r w:rsidRPr="00646525">
        <w:rPr>
          <w:rFonts w:ascii="Palatino Linotype" w:hAnsi="Palatino Linotype"/>
          <w:sz w:val="24"/>
        </w:rPr>
        <w:t xml:space="preserve">En relación a este tema, vale la pena señalar que </w:t>
      </w:r>
      <w:r w:rsidR="00007265" w:rsidRPr="00646525">
        <w:rPr>
          <w:rFonts w:ascii="Palatino Linotype" w:hAnsi="Palatino Linotype"/>
          <w:sz w:val="24"/>
        </w:rPr>
        <w:t xml:space="preserve">nuestro máximo Tribunal se ha pronunciado al tenor de la siguiente jurisprudencia. </w:t>
      </w:r>
    </w:p>
    <w:p w:rsidR="00007265" w:rsidRPr="00646525" w:rsidRDefault="00007265" w:rsidP="00007265">
      <w:pPr>
        <w:pStyle w:val="Prrafodelista"/>
        <w:rPr>
          <w:rFonts w:ascii="Palatino Linotype" w:hAnsi="Palatino Linotype"/>
          <w:sz w:val="24"/>
        </w:rPr>
      </w:pPr>
    </w:p>
    <w:p w:rsidR="00007265" w:rsidRPr="00646525" w:rsidRDefault="00007265" w:rsidP="000344E7">
      <w:pPr>
        <w:pStyle w:val="Prrafodelista"/>
        <w:spacing w:after="0" w:line="240" w:lineRule="auto"/>
        <w:jc w:val="both"/>
        <w:rPr>
          <w:rFonts w:ascii="Palatino Linotype" w:hAnsi="Palatino Linotype"/>
          <w:i/>
          <w:sz w:val="20"/>
        </w:rPr>
      </w:pPr>
      <w:r w:rsidRPr="00646525">
        <w:rPr>
          <w:rFonts w:ascii="Palatino Linotype" w:hAnsi="Palatino Linotype"/>
          <w:b/>
          <w:i/>
        </w:rPr>
        <w:t>DEBERES DE LOS CENTROS ESCOLARES FRENTE AL BULLYING ESCOLAR.</w:t>
      </w:r>
      <w:r w:rsidRPr="00646525">
        <w:rPr>
          <w:rFonts w:ascii="Palatino Linotype" w:hAnsi="Palatino Linotype"/>
          <w:i/>
        </w:rPr>
        <w:t xml:space="preserve"> Un centro escolar puede ser responsable ante casos de bullying si es negligente al reaccionar frente a este fenómeno, esto es, si incumple con los deberes que implica prestar un servicio educativo a menores de edad. En este sentido, conviene subrayar que en la prestación del servicio de educación a menores de edad se activan deberes de la mayor relevancia. </w:t>
      </w:r>
      <w:r w:rsidRPr="00646525">
        <w:rPr>
          <w:rFonts w:ascii="Palatino Linotype" w:hAnsi="Palatino Linotype"/>
          <w:b/>
          <w:i/>
        </w:rPr>
        <w:t>Los directivos y profesores tienen bajo su cuidado la integridad de los menores</w:t>
      </w:r>
      <w:r w:rsidRPr="00646525">
        <w:rPr>
          <w:rFonts w:ascii="Palatino Linotype" w:hAnsi="Palatino Linotype"/>
          <w:i/>
        </w:rPr>
        <w:t>. Estos deberes se generan y deben evaluarse a la luz del interés superior del menor y los derechos a la dignidad, integridad, educación y no discriminación</w:t>
      </w:r>
      <w:r w:rsidRPr="00646525">
        <w:rPr>
          <w:rFonts w:ascii="Palatino Linotype" w:hAnsi="Palatino Linotype"/>
          <w:b/>
          <w:i/>
        </w:rPr>
        <w:t>. Así, las instituciones educativas que tengan a su cargo a un menor, tienen el deber de protegerlo contra toda forma de perjuicio o abuso físico o mental, descuido o trato negligente, malos tratos o explotación, incluido el abuso sexual.</w:t>
      </w:r>
      <w:r w:rsidRPr="00646525">
        <w:rPr>
          <w:rFonts w:ascii="Palatino Linotype" w:hAnsi="Palatino Linotype"/>
          <w:i/>
        </w:rPr>
        <w:t xml:space="preserve"> Asimismo, </w:t>
      </w:r>
      <w:r w:rsidRPr="00646525">
        <w:rPr>
          <w:rFonts w:ascii="Palatino Linotype" w:hAnsi="Palatino Linotype"/>
          <w:b/>
          <w:i/>
        </w:rPr>
        <w:t xml:space="preserve">deben llevar cabo las acciones necesarias para propiciar las condiciones idóneas para crear un ambiente libre de </w:t>
      </w:r>
      <w:r w:rsidRPr="00646525">
        <w:rPr>
          <w:rFonts w:ascii="Palatino Linotype" w:hAnsi="Palatino Linotype"/>
          <w:b/>
          <w:i/>
        </w:rPr>
        <w:lastRenderedPageBreak/>
        <w:t>violencia en las instituciones educativas.</w:t>
      </w:r>
      <w:r w:rsidRPr="00646525">
        <w:rPr>
          <w:rFonts w:ascii="Palatino Linotype" w:hAnsi="Palatino Linotype"/>
          <w:i/>
        </w:rPr>
        <w:t xml:space="preserve"> </w:t>
      </w:r>
      <w:r w:rsidRPr="00646525">
        <w:rPr>
          <w:rFonts w:ascii="Palatino Linotype" w:hAnsi="Palatino Linotype"/>
          <w:b/>
          <w:i/>
        </w:rPr>
        <w:t>El deber general de protección se traduce en medidas concretas de protección que deben estar orientadas a identificar, prevenir, tratar, reaccionar y sancionar los malos tratos que puede sufrir un niño, niña o adolescente</w:t>
      </w:r>
      <w:r w:rsidRPr="00646525">
        <w:rPr>
          <w:rFonts w:ascii="Palatino Linotype" w:hAnsi="Palatino Linotype"/>
          <w:i/>
        </w:rPr>
        <w:t xml:space="preserve">. Aunado a lo anterior, las autoridades deben tomar medidas y acciones afirmativas orientadas a garantizar a niñas, niños y adolescentes la igualdad sustantiva de oportunidades y el derecho a la no discriminación. Por otra parte, </w:t>
      </w:r>
      <w:r w:rsidRPr="00646525">
        <w:rPr>
          <w:rFonts w:ascii="Palatino Linotype" w:hAnsi="Palatino Linotype"/>
          <w:b/>
          <w:i/>
        </w:rPr>
        <w:t>las instituciones educativas deben generar indicadores sobre su avance en la aplicación de métodos para prevenir y eliminar cualquier forma de discriminación y de violencia, con la finalidad de que sean sujetas a evaluación sobre la materia.</w:t>
      </w:r>
      <w:r w:rsidRPr="00646525">
        <w:rPr>
          <w:rFonts w:ascii="Palatino Linotype" w:hAnsi="Palatino Linotype"/>
          <w:i/>
        </w:rPr>
        <w:t xml:space="preserve"> De igual forma, los </w:t>
      </w:r>
      <w:r w:rsidRPr="00646525">
        <w:rPr>
          <w:rFonts w:ascii="Palatino Linotype" w:hAnsi="Palatino Linotype"/>
          <w:b/>
          <w:i/>
        </w:rPr>
        <w:t>directores deben evaluar el grado en que la escuela aplica la ética del cuidado</w:t>
      </w:r>
      <w:r w:rsidRPr="00646525">
        <w:rPr>
          <w:rFonts w:ascii="Palatino Linotype" w:hAnsi="Palatino Linotype"/>
          <w:i/>
        </w:rPr>
        <w:t xml:space="preserve">, el derecho a la protección y la solidaridad, lo que implica preguntarse qué tanto se evitan burlas o ironías; se brinda apoyo a quienes están en riesgo, desventaja o tienen algún problema; se aplican estrategias para el autocuidado y cuidado mutuo entre alumnos, y </w:t>
      </w:r>
      <w:r w:rsidRPr="00646525">
        <w:rPr>
          <w:rFonts w:ascii="Palatino Linotype" w:hAnsi="Palatino Linotype"/>
          <w:b/>
          <w:i/>
        </w:rPr>
        <w:t>se protege al alumnado contra el abuso y el acoso escolar</w:t>
      </w:r>
      <w:r w:rsidRPr="00646525">
        <w:rPr>
          <w:rFonts w:ascii="Palatino Linotype" w:hAnsi="Palatino Linotype"/>
          <w:i/>
        </w:rPr>
        <w:t xml:space="preserve">, etc. Además, cuando elaboren un proyecto para solucionar un problema, la evaluación implica el monitoreo o seguimiento de la aplicación de los proyectos, la evaluación de sus resultados y la evaluación de su impacto. Asimismo, </w:t>
      </w:r>
      <w:r w:rsidRPr="00646525">
        <w:rPr>
          <w:rFonts w:ascii="Palatino Linotype" w:hAnsi="Palatino Linotype"/>
          <w:b/>
          <w:i/>
        </w:rPr>
        <w:t>los directores deben identificar los factores de riesgo y protección personales, familiares, sociales y comunitarios que caracterizan a la comunidad escolar, así como elaborar y aplicar reglas y códigos de conducta que protejan a los estudiantes contra el abuso y el acoso sexual por parte de otros estudiantes o del personal</w:t>
      </w:r>
      <w:r w:rsidRPr="00646525">
        <w:rPr>
          <w:rFonts w:ascii="Palatino Linotype" w:hAnsi="Palatino Linotype"/>
          <w:i/>
        </w:rPr>
        <w:t xml:space="preserve">. En suma, esta Primera Sala considera que </w:t>
      </w:r>
      <w:r w:rsidRPr="00646525">
        <w:rPr>
          <w:rFonts w:ascii="Palatino Linotype" w:hAnsi="Palatino Linotype"/>
          <w:b/>
          <w:i/>
        </w:rPr>
        <w:t xml:space="preserve">los centros docentes tienen la indubitada responsabilidad de garantizar espacios seguros para que los menores puedan cursar sus estudios libres de agresiones y vejaciones, a través de acciones que permitan diagnosticar, prevenir, intervenir y modificar positivamente la convivencia escolar. </w:t>
      </w:r>
      <w:r w:rsidRPr="00646525">
        <w:rPr>
          <w:rFonts w:ascii="Palatino Linotype" w:hAnsi="Palatino Linotype"/>
          <w:i/>
          <w:sz w:val="20"/>
        </w:rPr>
        <w:t>Amparo directo 35/2014. 15 de mayo de 2015. Unanimidad de cuatro votos de los Ministros Arturo Zaldívar Lelo de Larrea, Jorge Mario Pardo Rebolledo, quien formuló voto concurrente, Olga Sánchez Cordero de García Villegas y Alfredo Gutiérrez Ortiz Mena, quien formuló voto concurrente. Ausente: José Ramón Cossío Díaz. Ponente: Arturo Zaldívar Lelo de Larrea. Secretaria: Ana María Ibarra Olguín.</w:t>
      </w:r>
    </w:p>
    <w:p w:rsidR="00007265" w:rsidRDefault="00007265" w:rsidP="00007265">
      <w:pPr>
        <w:pStyle w:val="Prrafodelista"/>
        <w:jc w:val="both"/>
        <w:rPr>
          <w:rFonts w:ascii="Palatino Linotype" w:hAnsi="Palatino Linotype"/>
          <w:sz w:val="20"/>
          <w:highlight w:val="cyan"/>
        </w:rPr>
      </w:pPr>
    </w:p>
    <w:p w:rsidR="00E27B40" w:rsidRPr="00007265" w:rsidRDefault="00E27B40" w:rsidP="00807E6D">
      <w:pPr>
        <w:pStyle w:val="Prrafodelista"/>
        <w:spacing w:after="0"/>
        <w:jc w:val="both"/>
        <w:rPr>
          <w:rFonts w:ascii="Palatino Linotype" w:hAnsi="Palatino Linotype"/>
          <w:sz w:val="20"/>
          <w:highlight w:val="cyan"/>
        </w:rPr>
      </w:pPr>
    </w:p>
    <w:p w:rsidR="00C10C05" w:rsidRDefault="00C10C05" w:rsidP="00807E6D">
      <w:pPr>
        <w:pStyle w:val="Prrafodelista"/>
        <w:numPr>
          <w:ilvl w:val="0"/>
          <w:numId w:val="17"/>
        </w:numPr>
        <w:spacing w:after="0" w:line="360" w:lineRule="auto"/>
        <w:jc w:val="both"/>
        <w:rPr>
          <w:rFonts w:ascii="Palatino Linotype" w:hAnsi="Palatino Linotype"/>
          <w:sz w:val="24"/>
        </w:rPr>
      </w:pPr>
      <w:r>
        <w:rPr>
          <w:rFonts w:ascii="Palatino Linotype" w:hAnsi="Palatino Linotype"/>
          <w:sz w:val="24"/>
        </w:rPr>
        <w:t xml:space="preserve">Al tenor de lo anterior, se colige que las instituciones educativas exigen procedimientos especiales diseñados con una incontestable perspectiva de género, conociendo y tomando en consideración las necesidades particulares y </w:t>
      </w:r>
      <w:r>
        <w:rPr>
          <w:rFonts w:ascii="Palatino Linotype" w:hAnsi="Palatino Linotype"/>
          <w:sz w:val="24"/>
        </w:rPr>
        <w:lastRenderedPageBreak/>
        <w:t>la situación de vulnerabilidad en las que se encuentran los estudiantes</w:t>
      </w:r>
      <w:r w:rsidR="009469AC">
        <w:rPr>
          <w:rFonts w:ascii="Palatino Linotype" w:hAnsi="Palatino Linotype"/>
          <w:sz w:val="24"/>
        </w:rPr>
        <w:t xml:space="preserve"> o el personal que labora en ellas</w:t>
      </w:r>
      <w:r>
        <w:rPr>
          <w:rFonts w:ascii="Palatino Linotype" w:hAnsi="Palatino Linotype"/>
          <w:sz w:val="24"/>
        </w:rPr>
        <w:t xml:space="preserve">. </w:t>
      </w:r>
    </w:p>
    <w:p w:rsidR="00C10C05" w:rsidRDefault="00C10C05" w:rsidP="00807E6D">
      <w:pPr>
        <w:pStyle w:val="Prrafodelista"/>
        <w:spacing w:after="0" w:line="360" w:lineRule="auto"/>
        <w:ind w:left="360"/>
        <w:jc w:val="both"/>
        <w:rPr>
          <w:rFonts w:ascii="Palatino Linotype" w:hAnsi="Palatino Linotype"/>
          <w:sz w:val="24"/>
        </w:rPr>
      </w:pPr>
    </w:p>
    <w:p w:rsidR="006E1990" w:rsidRPr="007E2B38" w:rsidRDefault="00E27B40" w:rsidP="00807E6D">
      <w:pPr>
        <w:pStyle w:val="Prrafodelista"/>
        <w:numPr>
          <w:ilvl w:val="0"/>
          <w:numId w:val="17"/>
        </w:numPr>
        <w:spacing w:after="0" w:line="360" w:lineRule="auto"/>
        <w:jc w:val="both"/>
        <w:rPr>
          <w:rFonts w:ascii="Palatino Linotype" w:hAnsi="Palatino Linotype"/>
          <w:sz w:val="24"/>
        </w:rPr>
      </w:pPr>
      <w:r>
        <w:rPr>
          <w:rFonts w:ascii="Palatino Linotype" w:hAnsi="Palatino Linotype"/>
          <w:sz w:val="24"/>
        </w:rPr>
        <w:t xml:space="preserve">Es necesario precisar, que hablar de violencia sexual y todas sus modalidades no es cuestión de </w:t>
      </w:r>
      <w:r w:rsidRPr="00275773">
        <w:rPr>
          <w:rFonts w:ascii="Palatino Linotype" w:hAnsi="Palatino Linotype"/>
          <w:sz w:val="24"/>
        </w:rPr>
        <w:t>géneros, ya</w:t>
      </w:r>
      <w:r>
        <w:rPr>
          <w:rFonts w:ascii="Palatino Linotype" w:hAnsi="Palatino Linotype"/>
          <w:sz w:val="24"/>
        </w:rPr>
        <w:t xml:space="preserve"> que este fenómeno se manifiesta </w:t>
      </w:r>
      <w:r w:rsidR="006E1990">
        <w:rPr>
          <w:rFonts w:ascii="Palatino Linotype" w:hAnsi="Palatino Linotype"/>
          <w:sz w:val="24"/>
        </w:rPr>
        <w:t>indistintamente, dañando la esfera de derechos de cualquier indiv</w:t>
      </w:r>
      <w:r w:rsidR="009469AC">
        <w:rPr>
          <w:rFonts w:ascii="Palatino Linotype" w:hAnsi="Palatino Linotype"/>
          <w:sz w:val="24"/>
        </w:rPr>
        <w:t xml:space="preserve">iduo, sea hombre o mujer. </w:t>
      </w:r>
    </w:p>
    <w:p w:rsidR="006E1990" w:rsidRPr="00E27B40" w:rsidRDefault="006E1990" w:rsidP="00807E6D">
      <w:pPr>
        <w:pStyle w:val="Prrafodelista"/>
        <w:spacing w:after="0" w:line="360" w:lineRule="auto"/>
        <w:ind w:left="360"/>
        <w:jc w:val="both"/>
        <w:rPr>
          <w:rFonts w:ascii="Palatino Linotype" w:hAnsi="Palatino Linotype"/>
          <w:sz w:val="24"/>
        </w:rPr>
      </w:pPr>
    </w:p>
    <w:p w:rsidR="00E27B40" w:rsidRPr="00680707" w:rsidRDefault="00E27B40" w:rsidP="00275773">
      <w:pPr>
        <w:pStyle w:val="Prrafodelista"/>
        <w:numPr>
          <w:ilvl w:val="0"/>
          <w:numId w:val="38"/>
        </w:numPr>
        <w:spacing w:after="0" w:line="360" w:lineRule="auto"/>
        <w:jc w:val="both"/>
        <w:rPr>
          <w:rFonts w:ascii="Palatino Linotype" w:hAnsi="Palatino Linotype"/>
          <w:sz w:val="24"/>
        </w:rPr>
      </w:pPr>
      <w:r w:rsidRPr="00680707">
        <w:rPr>
          <w:rFonts w:ascii="Palatino Linotype" w:hAnsi="Palatino Linotype"/>
          <w:b/>
          <w:sz w:val="24"/>
        </w:rPr>
        <w:t xml:space="preserve">Prevención </w:t>
      </w:r>
      <w:r w:rsidR="00646525" w:rsidRPr="00680707">
        <w:rPr>
          <w:rFonts w:ascii="Palatino Linotype" w:hAnsi="Palatino Linotype"/>
          <w:b/>
          <w:sz w:val="24"/>
        </w:rPr>
        <w:t xml:space="preserve">de la </w:t>
      </w:r>
      <w:r w:rsidRPr="00680707">
        <w:rPr>
          <w:rFonts w:ascii="Palatino Linotype" w:hAnsi="Palatino Linotype"/>
          <w:b/>
          <w:sz w:val="24"/>
        </w:rPr>
        <w:t xml:space="preserve">Violencia Sexual, </w:t>
      </w:r>
      <w:r w:rsidR="00646525" w:rsidRPr="00680707">
        <w:rPr>
          <w:rFonts w:ascii="Palatino Linotype" w:hAnsi="Palatino Linotype"/>
          <w:b/>
          <w:sz w:val="24"/>
        </w:rPr>
        <w:t xml:space="preserve">como medio de </w:t>
      </w:r>
      <w:r w:rsidRPr="00680707">
        <w:rPr>
          <w:rFonts w:ascii="Palatino Linotype" w:hAnsi="Palatino Linotype"/>
          <w:b/>
          <w:sz w:val="24"/>
        </w:rPr>
        <w:t xml:space="preserve">Protección </w:t>
      </w:r>
      <w:r w:rsidR="00646525" w:rsidRPr="00680707">
        <w:rPr>
          <w:rFonts w:ascii="Palatino Linotype" w:hAnsi="Palatino Linotype"/>
          <w:b/>
          <w:sz w:val="24"/>
        </w:rPr>
        <w:t xml:space="preserve">a los </w:t>
      </w:r>
      <w:r w:rsidRPr="00680707">
        <w:rPr>
          <w:rFonts w:ascii="Palatino Linotype" w:hAnsi="Palatino Linotype"/>
          <w:b/>
          <w:sz w:val="24"/>
        </w:rPr>
        <w:t>Derechos Humanos</w:t>
      </w:r>
      <w:r w:rsidR="00F35A79" w:rsidRPr="00680707">
        <w:rPr>
          <w:rFonts w:ascii="Palatino Linotype" w:hAnsi="Palatino Linotype"/>
          <w:b/>
          <w:sz w:val="24"/>
        </w:rPr>
        <w:t>;</w:t>
      </w:r>
      <w:r w:rsidR="00F35A79" w:rsidRPr="00680707">
        <w:rPr>
          <w:rFonts w:ascii="Palatino Linotype" w:hAnsi="Palatino Linotype"/>
          <w:sz w:val="24"/>
        </w:rPr>
        <w:t xml:space="preserve"> </w:t>
      </w:r>
    </w:p>
    <w:p w:rsidR="006E1990" w:rsidRDefault="006E1990" w:rsidP="00275773">
      <w:pPr>
        <w:pStyle w:val="Prrafodelista"/>
        <w:spacing w:after="0" w:line="360" w:lineRule="auto"/>
        <w:ind w:left="360"/>
        <w:jc w:val="both"/>
        <w:rPr>
          <w:rFonts w:ascii="Palatino Linotype" w:hAnsi="Palatino Linotype"/>
          <w:sz w:val="24"/>
        </w:rPr>
      </w:pPr>
    </w:p>
    <w:p w:rsidR="009469AC" w:rsidRDefault="00F35A79" w:rsidP="00275773">
      <w:pPr>
        <w:pStyle w:val="Prrafodelista"/>
        <w:numPr>
          <w:ilvl w:val="0"/>
          <w:numId w:val="17"/>
        </w:numPr>
        <w:spacing w:after="0" w:line="360" w:lineRule="auto"/>
        <w:jc w:val="both"/>
        <w:rPr>
          <w:rFonts w:ascii="Palatino Linotype" w:hAnsi="Palatino Linotype"/>
          <w:sz w:val="24"/>
        </w:rPr>
      </w:pPr>
      <w:r w:rsidRPr="00F35A79">
        <w:rPr>
          <w:rFonts w:ascii="Palatino Linotype" w:hAnsi="Palatino Linotype"/>
          <w:sz w:val="24"/>
        </w:rPr>
        <w:t>El derecho a una vida libre de violencia</w:t>
      </w:r>
      <w:r w:rsidR="009469AC">
        <w:rPr>
          <w:rFonts w:ascii="Palatino Linotype" w:hAnsi="Palatino Linotype"/>
          <w:sz w:val="24"/>
        </w:rPr>
        <w:t>,</w:t>
      </w:r>
      <w:r w:rsidRPr="00F35A79">
        <w:rPr>
          <w:rFonts w:ascii="Palatino Linotype" w:hAnsi="Palatino Linotype"/>
          <w:sz w:val="24"/>
        </w:rPr>
        <w:t xml:space="preserve"> incluye el ser libre de toda forma de discriminación</w:t>
      </w:r>
      <w:r w:rsidR="009469AC">
        <w:rPr>
          <w:rFonts w:ascii="Palatino Linotype" w:hAnsi="Palatino Linotype"/>
          <w:sz w:val="24"/>
        </w:rPr>
        <w:t>, y el derecho de las personas, a ser valorados y educado</w:t>
      </w:r>
      <w:r w:rsidRPr="00F35A79">
        <w:rPr>
          <w:rFonts w:ascii="Palatino Linotype" w:hAnsi="Palatino Linotype"/>
          <w:sz w:val="24"/>
        </w:rPr>
        <w:t>s libres de patrones estereotipados de comportamiento y prácticas sociales y culturales basadas en conceptos de inferioridad o subordinación conforme a la Convención Interamericana para Prevenir, Sancionar y Erradicar la Violencia contra la Mujer, “Convención de Belém do Pará”, de 1995.</w:t>
      </w:r>
    </w:p>
    <w:p w:rsidR="00807E6D" w:rsidRDefault="00807E6D" w:rsidP="00275773">
      <w:pPr>
        <w:pStyle w:val="Prrafodelista"/>
        <w:spacing w:after="0" w:line="360" w:lineRule="auto"/>
        <w:ind w:left="360"/>
        <w:jc w:val="both"/>
        <w:rPr>
          <w:rFonts w:ascii="Palatino Linotype" w:hAnsi="Palatino Linotype"/>
          <w:sz w:val="24"/>
        </w:rPr>
      </w:pPr>
    </w:p>
    <w:p w:rsidR="00B03A5A" w:rsidRDefault="00F35A79" w:rsidP="00275773">
      <w:pPr>
        <w:pStyle w:val="Prrafodelista"/>
        <w:numPr>
          <w:ilvl w:val="0"/>
          <w:numId w:val="17"/>
        </w:numPr>
        <w:spacing w:after="0" w:line="360" w:lineRule="auto"/>
        <w:jc w:val="both"/>
        <w:rPr>
          <w:rFonts w:ascii="Palatino Linotype" w:hAnsi="Palatino Linotype"/>
          <w:sz w:val="24"/>
        </w:rPr>
      </w:pPr>
      <w:r w:rsidRPr="009469AC">
        <w:rPr>
          <w:rFonts w:ascii="Palatino Linotype" w:hAnsi="Palatino Linotype"/>
          <w:sz w:val="24"/>
        </w:rPr>
        <w:t xml:space="preserve"> Asimismo, la violencia se constituye en una forma de discriminación al entender como causal al sexo y la necesidad de modificar patrones socio culturales como l</w:t>
      </w:r>
      <w:r w:rsidR="009469AC">
        <w:rPr>
          <w:rFonts w:ascii="Palatino Linotype" w:hAnsi="Palatino Linotype"/>
          <w:sz w:val="24"/>
        </w:rPr>
        <w:t>os que excluyen a las personas (…)</w:t>
      </w:r>
      <w:r w:rsidRPr="009469AC">
        <w:rPr>
          <w:rFonts w:ascii="Palatino Linotype" w:hAnsi="Palatino Linotype"/>
          <w:sz w:val="24"/>
        </w:rPr>
        <w:t xml:space="preserve">, de acuerdo con la Convención sobre la Eliminación de Todas las Formas de Discriminación contra la Mujer (CEDAW), de 1979 y la Observación CEDAW GR28, sobre el </w:t>
      </w:r>
      <w:bookmarkStart w:id="2" w:name="_GoBack"/>
      <w:bookmarkEnd w:id="2"/>
      <w:r w:rsidRPr="009469AC">
        <w:rPr>
          <w:rFonts w:ascii="Palatino Linotype" w:hAnsi="Palatino Linotype"/>
          <w:sz w:val="24"/>
        </w:rPr>
        <w:t>artículo 2, párr. 19.</w:t>
      </w:r>
      <w:r w:rsidR="009469AC">
        <w:rPr>
          <w:rFonts w:ascii="Palatino Linotype" w:hAnsi="Palatino Linotype"/>
          <w:sz w:val="24"/>
        </w:rPr>
        <w:t xml:space="preserve">     </w:t>
      </w:r>
    </w:p>
    <w:p w:rsidR="009469AC" w:rsidRPr="000344E7" w:rsidRDefault="009469AC" w:rsidP="000344E7">
      <w:pPr>
        <w:spacing w:after="0" w:line="360" w:lineRule="auto"/>
        <w:jc w:val="both"/>
        <w:rPr>
          <w:rFonts w:ascii="Palatino Linotype" w:hAnsi="Palatino Linotype"/>
          <w:sz w:val="24"/>
        </w:rPr>
      </w:pPr>
    </w:p>
    <w:p w:rsidR="00506287" w:rsidRDefault="00486D45" w:rsidP="00646525">
      <w:pPr>
        <w:numPr>
          <w:ilvl w:val="0"/>
          <w:numId w:val="17"/>
        </w:numPr>
        <w:spacing w:after="0" w:line="360" w:lineRule="auto"/>
        <w:ind w:right="49"/>
        <w:jc w:val="both"/>
        <w:rPr>
          <w:rFonts w:ascii="Palatino Linotype" w:eastAsia="Times New Roman" w:hAnsi="Palatino Linotype" w:cs="Arial"/>
          <w:color w:val="000000" w:themeColor="text1"/>
          <w:sz w:val="24"/>
          <w:szCs w:val="24"/>
          <w:lang w:eastAsia="es-MX"/>
        </w:rPr>
      </w:pPr>
      <w:r w:rsidRPr="005D0B8C">
        <w:rPr>
          <w:rFonts w:ascii="Palatino Linotype" w:hAnsi="Palatino Linotype"/>
          <w:color w:val="000000" w:themeColor="text1"/>
          <w:sz w:val="24"/>
          <w:szCs w:val="24"/>
        </w:rPr>
        <w:t xml:space="preserve">En ese contexto, </w:t>
      </w:r>
      <w:r w:rsidR="009469AC">
        <w:rPr>
          <w:rFonts w:ascii="Palatino Linotype" w:hAnsi="Palatino Linotype"/>
          <w:color w:val="000000" w:themeColor="text1"/>
          <w:sz w:val="24"/>
          <w:szCs w:val="24"/>
        </w:rPr>
        <w:t>se concluye que el tema de violencia sexual, en todas sus manifestaciones</w:t>
      </w:r>
      <w:r w:rsidR="009469AC" w:rsidRPr="00275773">
        <w:rPr>
          <w:rFonts w:ascii="Palatino Linotype" w:hAnsi="Palatino Linotype"/>
          <w:color w:val="000000" w:themeColor="text1"/>
          <w:sz w:val="24"/>
          <w:szCs w:val="24"/>
        </w:rPr>
        <w:t>;</w:t>
      </w:r>
      <w:r w:rsidR="006A47A3" w:rsidRPr="00275773">
        <w:rPr>
          <w:rFonts w:ascii="Palatino Linotype" w:hAnsi="Palatino Linotype"/>
          <w:color w:val="000000" w:themeColor="text1"/>
          <w:sz w:val="24"/>
          <w:szCs w:val="24"/>
        </w:rPr>
        <w:t xml:space="preserve"> abuso,</w:t>
      </w:r>
      <w:r w:rsidR="009469AC" w:rsidRPr="00275773">
        <w:rPr>
          <w:rFonts w:ascii="Palatino Linotype" w:hAnsi="Palatino Linotype"/>
          <w:color w:val="000000" w:themeColor="text1"/>
          <w:sz w:val="24"/>
          <w:szCs w:val="24"/>
        </w:rPr>
        <w:t xml:space="preserve"> hostigamiento y/o acoso sexual,</w:t>
      </w:r>
      <w:r w:rsidR="009469AC">
        <w:rPr>
          <w:rFonts w:ascii="Palatino Linotype" w:hAnsi="Palatino Linotype"/>
          <w:color w:val="000000" w:themeColor="text1"/>
          <w:sz w:val="24"/>
          <w:szCs w:val="24"/>
        </w:rPr>
        <w:t xml:space="preserve"> son temas de trascendente relevancia en la sociedad,</w:t>
      </w:r>
      <w:r w:rsidR="006A47A3">
        <w:rPr>
          <w:rFonts w:ascii="Palatino Linotype" w:hAnsi="Palatino Linotype"/>
          <w:color w:val="000000" w:themeColor="text1"/>
          <w:sz w:val="24"/>
          <w:szCs w:val="24"/>
        </w:rPr>
        <w:t xml:space="preserve"> al tenor de que dañan la esfera más íntima </w:t>
      </w:r>
      <w:r w:rsidR="002F21B3">
        <w:rPr>
          <w:rFonts w:ascii="Palatino Linotype" w:hAnsi="Palatino Linotype"/>
          <w:color w:val="000000" w:themeColor="text1"/>
          <w:sz w:val="24"/>
          <w:szCs w:val="24"/>
        </w:rPr>
        <w:t>de la integridad de la persona</w:t>
      </w:r>
      <w:r w:rsidR="00664F83">
        <w:rPr>
          <w:rFonts w:ascii="Palatino Linotype" w:hAnsi="Palatino Linotype"/>
          <w:color w:val="000000" w:themeColor="text1"/>
          <w:sz w:val="24"/>
          <w:szCs w:val="24"/>
        </w:rPr>
        <w:t xml:space="preserve"> y por ende </w:t>
      </w:r>
      <w:r w:rsidR="00664F83" w:rsidRPr="00275773">
        <w:rPr>
          <w:rFonts w:ascii="Palatino Linotype" w:hAnsi="Palatino Linotype"/>
          <w:color w:val="000000" w:themeColor="text1"/>
          <w:sz w:val="24"/>
          <w:szCs w:val="24"/>
        </w:rPr>
        <w:t>deben ser conocidos</w:t>
      </w:r>
      <w:r w:rsidR="00664F83">
        <w:rPr>
          <w:rFonts w:ascii="Palatino Linotype" w:hAnsi="Palatino Linotype"/>
          <w:color w:val="000000" w:themeColor="text1"/>
          <w:sz w:val="24"/>
          <w:szCs w:val="24"/>
        </w:rPr>
        <w:t xml:space="preserve"> y castigados por las autoridades competentes</w:t>
      </w:r>
      <w:r w:rsidR="002F21B3">
        <w:rPr>
          <w:rFonts w:ascii="Palatino Linotype" w:hAnsi="Palatino Linotype"/>
          <w:color w:val="000000" w:themeColor="text1"/>
          <w:sz w:val="24"/>
          <w:szCs w:val="24"/>
        </w:rPr>
        <w:t>.</w:t>
      </w:r>
      <w:r w:rsidR="006A47A3">
        <w:rPr>
          <w:rFonts w:ascii="Palatino Linotype" w:hAnsi="Palatino Linotype"/>
          <w:color w:val="000000" w:themeColor="text1"/>
          <w:sz w:val="24"/>
          <w:szCs w:val="24"/>
        </w:rPr>
        <w:t xml:space="preserve"> L</w:t>
      </w:r>
      <w:r w:rsidR="009469AC">
        <w:rPr>
          <w:rFonts w:ascii="Palatino Linotype" w:hAnsi="Palatino Linotype"/>
          <w:color w:val="000000" w:themeColor="text1"/>
          <w:sz w:val="24"/>
          <w:szCs w:val="24"/>
        </w:rPr>
        <w:t xml:space="preserve">a </w:t>
      </w:r>
      <w:r w:rsidR="009469AC" w:rsidRPr="00646525">
        <w:rPr>
          <w:rFonts w:ascii="Palatino Linotype" w:hAnsi="Palatino Linotype"/>
          <w:b/>
          <w:color w:val="000000" w:themeColor="text1"/>
          <w:sz w:val="24"/>
          <w:szCs w:val="24"/>
          <w:u w:val="single"/>
        </w:rPr>
        <w:t>prevención y la erradicación</w:t>
      </w:r>
      <w:r w:rsidR="009469AC">
        <w:rPr>
          <w:rFonts w:ascii="Palatino Linotype" w:hAnsi="Palatino Linotype"/>
          <w:color w:val="000000" w:themeColor="text1"/>
          <w:sz w:val="24"/>
          <w:szCs w:val="24"/>
        </w:rPr>
        <w:t xml:space="preserve"> </w:t>
      </w:r>
      <w:r w:rsidR="003D1315">
        <w:rPr>
          <w:rFonts w:ascii="Palatino Linotype" w:hAnsi="Palatino Linotype"/>
          <w:color w:val="000000" w:themeColor="text1"/>
          <w:sz w:val="24"/>
          <w:szCs w:val="24"/>
        </w:rPr>
        <w:t>de é</w:t>
      </w:r>
      <w:r w:rsidR="009469AC">
        <w:rPr>
          <w:rFonts w:ascii="Palatino Linotype" w:hAnsi="Palatino Linotype"/>
          <w:color w:val="000000" w:themeColor="text1"/>
          <w:sz w:val="24"/>
          <w:szCs w:val="24"/>
        </w:rPr>
        <w:t>stos fenómenos a través de la percepción de los mismos y el fomento de la cultura de la denuncia</w:t>
      </w:r>
      <w:r w:rsidR="009469AC">
        <w:rPr>
          <w:rFonts w:ascii="Palatino Linotype" w:eastAsia="Times New Roman" w:hAnsi="Palatino Linotype" w:cs="Arial"/>
          <w:color w:val="000000" w:themeColor="text1"/>
          <w:sz w:val="24"/>
          <w:szCs w:val="24"/>
          <w:lang w:eastAsia="es-MX"/>
        </w:rPr>
        <w:t xml:space="preserve">, son </w:t>
      </w:r>
      <w:r w:rsidR="003D1315">
        <w:rPr>
          <w:rFonts w:ascii="Palatino Linotype" w:eastAsia="Times New Roman" w:hAnsi="Palatino Linotype" w:cs="Arial"/>
          <w:color w:val="000000" w:themeColor="text1"/>
          <w:sz w:val="24"/>
          <w:szCs w:val="24"/>
          <w:lang w:eastAsia="es-MX"/>
        </w:rPr>
        <w:t>herramientas esenciales</w:t>
      </w:r>
      <w:r w:rsidR="009469AC">
        <w:rPr>
          <w:rFonts w:ascii="Palatino Linotype" w:eastAsia="Times New Roman" w:hAnsi="Palatino Linotype" w:cs="Arial"/>
          <w:color w:val="000000" w:themeColor="text1"/>
          <w:sz w:val="24"/>
          <w:szCs w:val="24"/>
          <w:lang w:eastAsia="es-MX"/>
        </w:rPr>
        <w:t xml:space="preserve"> para la protección de los Derechos Humanos de cualquier individuo</w:t>
      </w:r>
      <w:r w:rsidR="00807E6D">
        <w:rPr>
          <w:rFonts w:ascii="Palatino Linotype" w:eastAsia="Times New Roman" w:hAnsi="Palatino Linotype" w:cs="Arial"/>
          <w:color w:val="000000" w:themeColor="text1"/>
          <w:sz w:val="24"/>
          <w:szCs w:val="24"/>
          <w:lang w:eastAsia="es-MX"/>
        </w:rPr>
        <w:t>,</w:t>
      </w:r>
      <w:r w:rsidR="009469AC">
        <w:rPr>
          <w:rFonts w:ascii="Palatino Linotype" w:eastAsia="Times New Roman" w:hAnsi="Palatino Linotype" w:cs="Arial"/>
          <w:color w:val="000000" w:themeColor="text1"/>
          <w:sz w:val="24"/>
          <w:szCs w:val="24"/>
          <w:lang w:eastAsia="es-MX"/>
        </w:rPr>
        <w:t xml:space="preserve"> indistintamente a su sexo, edad, </w:t>
      </w:r>
      <w:r w:rsidR="003D1315">
        <w:rPr>
          <w:rFonts w:ascii="Palatino Linotype" w:eastAsia="Times New Roman" w:hAnsi="Palatino Linotype" w:cs="Arial"/>
          <w:color w:val="000000" w:themeColor="text1"/>
          <w:sz w:val="24"/>
          <w:szCs w:val="24"/>
          <w:lang w:eastAsia="es-MX"/>
        </w:rPr>
        <w:t>etnia,  posición económica o de autoridad, y más aún cuando se trate en situación escolar</w:t>
      </w:r>
      <w:r w:rsidR="00C951A4">
        <w:rPr>
          <w:rFonts w:ascii="Palatino Linotype" w:eastAsia="Times New Roman" w:hAnsi="Palatino Linotype" w:cs="Arial"/>
          <w:color w:val="000000" w:themeColor="text1"/>
          <w:sz w:val="24"/>
          <w:szCs w:val="24"/>
          <w:lang w:eastAsia="es-MX"/>
        </w:rPr>
        <w:t xml:space="preserve">, ya que un entorno </w:t>
      </w:r>
      <w:r w:rsidR="00C951A4" w:rsidRPr="00275773">
        <w:rPr>
          <w:rFonts w:ascii="Palatino Linotype" w:eastAsia="Times New Roman" w:hAnsi="Palatino Linotype" w:cs="Arial"/>
          <w:color w:val="000000" w:themeColor="text1"/>
          <w:sz w:val="24"/>
          <w:szCs w:val="24"/>
          <w:lang w:eastAsia="es-MX"/>
        </w:rPr>
        <w:t>de este tipo de</w:t>
      </w:r>
      <w:r w:rsidR="00275773" w:rsidRPr="00275773">
        <w:rPr>
          <w:rFonts w:ascii="Palatino Linotype" w:eastAsia="Times New Roman" w:hAnsi="Palatino Linotype" w:cs="Arial"/>
          <w:color w:val="000000" w:themeColor="text1"/>
          <w:sz w:val="24"/>
          <w:szCs w:val="24"/>
          <w:lang w:eastAsia="es-MX"/>
        </w:rPr>
        <w:t>be ser</w:t>
      </w:r>
      <w:r w:rsidR="003D1315" w:rsidRPr="00275773">
        <w:rPr>
          <w:rFonts w:ascii="Palatino Linotype" w:eastAsia="Times New Roman" w:hAnsi="Palatino Linotype" w:cs="Arial"/>
          <w:color w:val="000000" w:themeColor="text1"/>
          <w:sz w:val="24"/>
          <w:szCs w:val="24"/>
          <w:lang w:eastAsia="es-MX"/>
        </w:rPr>
        <w:t xml:space="preserve"> digno de respeto y decoro, son</w:t>
      </w:r>
      <w:r w:rsidR="003D1315">
        <w:rPr>
          <w:rFonts w:ascii="Palatino Linotype" w:eastAsia="Times New Roman" w:hAnsi="Palatino Linotype" w:cs="Arial"/>
          <w:color w:val="000000" w:themeColor="text1"/>
          <w:sz w:val="24"/>
          <w:szCs w:val="24"/>
          <w:lang w:eastAsia="es-MX"/>
        </w:rPr>
        <w:t xml:space="preserve"> indispensables para el adecuado desarrollo psicológico, social e intelectual del individuo, todo ello lográndose y consolidándose a través de programas escolares que abarquen cuestiones informativas y preventivas para</w:t>
      </w:r>
      <w:r w:rsidR="002F21B3">
        <w:rPr>
          <w:rFonts w:ascii="Palatino Linotype" w:eastAsia="Times New Roman" w:hAnsi="Palatino Linotype" w:cs="Arial"/>
          <w:color w:val="000000" w:themeColor="text1"/>
          <w:sz w:val="24"/>
          <w:szCs w:val="24"/>
          <w:lang w:eastAsia="es-MX"/>
        </w:rPr>
        <w:t xml:space="preserve"> permitan </w:t>
      </w:r>
      <w:r w:rsidR="00664F83">
        <w:rPr>
          <w:rFonts w:ascii="Palatino Linotype" w:eastAsia="Times New Roman" w:hAnsi="Palatino Linotype" w:cs="Arial"/>
          <w:color w:val="000000" w:themeColor="text1"/>
          <w:sz w:val="24"/>
          <w:szCs w:val="24"/>
          <w:lang w:eastAsia="es-MX"/>
        </w:rPr>
        <w:t>la reducción y erradicación de éste</w:t>
      </w:r>
      <w:r w:rsidR="002F21B3">
        <w:rPr>
          <w:rFonts w:ascii="Palatino Linotype" w:eastAsia="Times New Roman" w:hAnsi="Palatino Linotype" w:cs="Arial"/>
          <w:color w:val="000000" w:themeColor="text1"/>
          <w:sz w:val="24"/>
          <w:szCs w:val="24"/>
          <w:lang w:eastAsia="es-MX"/>
        </w:rPr>
        <w:t xml:space="preserve"> fenómeno. </w:t>
      </w:r>
    </w:p>
    <w:p w:rsidR="000344E7" w:rsidRDefault="000344E7" w:rsidP="000344E7">
      <w:pPr>
        <w:pStyle w:val="Prrafodelista"/>
        <w:rPr>
          <w:rFonts w:ascii="Palatino Linotype" w:eastAsia="Times New Roman" w:hAnsi="Palatino Linotype" w:cs="Arial"/>
          <w:color w:val="000000" w:themeColor="text1"/>
          <w:sz w:val="24"/>
          <w:szCs w:val="24"/>
          <w:lang w:eastAsia="es-MX"/>
        </w:rPr>
      </w:pPr>
    </w:p>
    <w:p w:rsidR="00275773" w:rsidRPr="00646525" w:rsidRDefault="00275773" w:rsidP="00275773">
      <w:pPr>
        <w:spacing w:after="0" w:line="360" w:lineRule="auto"/>
        <w:ind w:left="360" w:right="49"/>
        <w:jc w:val="both"/>
        <w:rPr>
          <w:rFonts w:ascii="Palatino Linotype" w:eastAsia="Times New Roman" w:hAnsi="Palatino Linotype" w:cs="Arial"/>
          <w:color w:val="000000" w:themeColor="text1"/>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97"/>
      </w:tblGrid>
      <w:tr w:rsidR="00506287" w:rsidTr="000344E7">
        <w:tc>
          <w:tcPr>
            <w:tcW w:w="4531" w:type="dxa"/>
          </w:tcPr>
          <w:p w:rsidR="00506287" w:rsidRPr="00506287" w:rsidRDefault="00506287" w:rsidP="00D0304D">
            <w:pPr>
              <w:pStyle w:val="Prrafodelista"/>
              <w:spacing w:line="360" w:lineRule="auto"/>
              <w:ind w:left="0"/>
              <w:jc w:val="center"/>
              <w:rPr>
                <w:rFonts w:ascii="Palatino Linotype" w:eastAsia="Calibri" w:hAnsi="Palatino Linotype" w:cs="Arial"/>
                <w:b/>
                <w:color w:val="000000" w:themeColor="text1"/>
              </w:rPr>
            </w:pPr>
            <w:r w:rsidRPr="00506287">
              <w:rPr>
                <w:rFonts w:ascii="Palatino Linotype" w:eastAsia="Calibri" w:hAnsi="Palatino Linotype" w:cs="Arial"/>
                <w:b/>
                <w:color w:val="000000" w:themeColor="text1"/>
              </w:rPr>
              <w:t>JOSÉ GUADALUPE LUNA HERNÁNDEZ</w:t>
            </w:r>
          </w:p>
          <w:p w:rsidR="00506287" w:rsidRPr="00506287" w:rsidRDefault="00506287" w:rsidP="00D0304D">
            <w:pPr>
              <w:pStyle w:val="Prrafodelista"/>
              <w:spacing w:line="360" w:lineRule="auto"/>
              <w:ind w:left="0"/>
              <w:jc w:val="center"/>
              <w:rPr>
                <w:rFonts w:ascii="Palatino Linotype" w:eastAsia="Calibri" w:hAnsi="Palatino Linotype" w:cs="Arial"/>
                <w:b/>
                <w:color w:val="000000" w:themeColor="text1"/>
              </w:rPr>
            </w:pPr>
            <w:r w:rsidRPr="00506287">
              <w:rPr>
                <w:rFonts w:ascii="Palatino Linotype" w:eastAsia="Calibri" w:hAnsi="Palatino Linotype" w:cs="Arial"/>
                <w:b/>
                <w:color w:val="000000" w:themeColor="text1"/>
              </w:rPr>
              <w:t>COMISIONADO</w:t>
            </w:r>
          </w:p>
          <w:p w:rsidR="00506287" w:rsidRPr="00646525" w:rsidRDefault="00506287" w:rsidP="00646525">
            <w:pPr>
              <w:pStyle w:val="Prrafodelista"/>
              <w:spacing w:line="360" w:lineRule="auto"/>
              <w:ind w:left="0"/>
              <w:jc w:val="center"/>
              <w:rPr>
                <w:rFonts w:ascii="Palatino Linotype" w:hAnsi="Palatino Linotype" w:cs="Arial"/>
                <w:b/>
                <w:color w:val="000000" w:themeColor="text1"/>
              </w:rPr>
            </w:pPr>
            <w:r w:rsidRPr="00506287">
              <w:rPr>
                <w:rFonts w:ascii="Palatino Linotype" w:hAnsi="Palatino Linotype" w:cs="Arial"/>
                <w:b/>
                <w:color w:val="000000" w:themeColor="text1"/>
              </w:rPr>
              <w:t>(RÚBRICA)</w:t>
            </w:r>
          </w:p>
        </w:tc>
        <w:tc>
          <w:tcPr>
            <w:tcW w:w="4297" w:type="dxa"/>
          </w:tcPr>
          <w:p w:rsidR="00506287" w:rsidRPr="00506287" w:rsidRDefault="00506287" w:rsidP="00D0304D">
            <w:pPr>
              <w:pStyle w:val="Prrafodelista"/>
              <w:spacing w:line="360" w:lineRule="auto"/>
              <w:ind w:left="0"/>
              <w:jc w:val="center"/>
              <w:rPr>
                <w:rFonts w:ascii="Palatino Linotype" w:hAnsi="Palatino Linotype"/>
                <w:b/>
                <w:color w:val="000000" w:themeColor="text1"/>
              </w:rPr>
            </w:pPr>
            <w:r w:rsidRPr="00506287">
              <w:rPr>
                <w:rFonts w:ascii="Palatino Linotype" w:hAnsi="Palatino Linotype"/>
                <w:b/>
                <w:color w:val="000000" w:themeColor="text1"/>
              </w:rPr>
              <w:t xml:space="preserve">LUIS GUSTAVO PARRA NORIEGA </w:t>
            </w:r>
          </w:p>
          <w:p w:rsidR="00664F83" w:rsidRDefault="00506287" w:rsidP="00664F83">
            <w:pPr>
              <w:pStyle w:val="Prrafodelista"/>
              <w:spacing w:line="360" w:lineRule="auto"/>
              <w:ind w:left="0"/>
              <w:jc w:val="center"/>
              <w:rPr>
                <w:rFonts w:ascii="Palatino Linotype" w:eastAsia="Calibri" w:hAnsi="Palatino Linotype" w:cs="Arial"/>
                <w:b/>
                <w:color w:val="000000" w:themeColor="text1"/>
              </w:rPr>
            </w:pPr>
            <w:r w:rsidRPr="00506287">
              <w:rPr>
                <w:rFonts w:ascii="Palatino Linotype" w:eastAsia="Calibri" w:hAnsi="Palatino Linotype" w:cs="Arial"/>
                <w:b/>
                <w:color w:val="000000" w:themeColor="text1"/>
              </w:rPr>
              <w:t>COMISIONADO</w:t>
            </w:r>
          </w:p>
          <w:p w:rsidR="00506287" w:rsidRPr="000344E7" w:rsidRDefault="00506287" w:rsidP="000344E7">
            <w:pPr>
              <w:pStyle w:val="Prrafodelista"/>
              <w:spacing w:line="360" w:lineRule="auto"/>
              <w:ind w:left="0"/>
              <w:jc w:val="center"/>
              <w:rPr>
                <w:rFonts w:ascii="Palatino Linotype" w:hAnsi="Palatino Linotype" w:cs="Arial"/>
                <w:b/>
                <w:color w:val="000000" w:themeColor="text1"/>
              </w:rPr>
            </w:pPr>
            <w:r w:rsidRPr="00506287">
              <w:rPr>
                <w:rFonts w:ascii="Palatino Linotype" w:hAnsi="Palatino Linotype" w:cs="Arial"/>
                <w:b/>
                <w:color w:val="000000" w:themeColor="text1"/>
              </w:rPr>
              <w:t>(RÚBRICA)</w:t>
            </w:r>
          </w:p>
        </w:tc>
      </w:tr>
    </w:tbl>
    <w:p w:rsidR="000344E7" w:rsidRDefault="000344E7" w:rsidP="00D0304D">
      <w:pPr>
        <w:spacing w:after="0" w:line="360" w:lineRule="auto"/>
        <w:rPr>
          <w:rFonts w:ascii="Palatino Linotype" w:hAnsi="Palatino Linotype"/>
          <w:color w:val="000000" w:themeColor="text1"/>
          <w:sz w:val="24"/>
          <w:szCs w:val="24"/>
        </w:rPr>
      </w:pPr>
    </w:p>
    <w:p w:rsidR="00664F83" w:rsidRPr="000344E7" w:rsidRDefault="000344E7" w:rsidP="00D0304D">
      <w:pPr>
        <w:spacing w:after="0" w:line="360" w:lineRule="auto"/>
        <w:rPr>
          <w:rFonts w:ascii="Palatino Linotype" w:hAnsi="Palatino Linotype"/>
          <w:color w:val="000000" w:themeColor="text1"/>
          <w:sz w:val="20"/>
          <w:szCs w:val="20"/>
        </w:rPr>
      </w:pPr>
      <w:r w:rsidRPr="000344E7">
        <w:rPr>
          <w:rFonts w:ascii="Palatino Linotype" w:hAnsi="Palatino Linotype"/>
          <w:color w:val="000000" w:themeColor="text1"/>
          <w:sz w:val="20"/>
          <w:szCs w:val="20"/>
        </w:rPr>
        <w:t>JGLH/</w:t>
      </w:r>
      <w:r w:rsidR="00664F83" w:rsidRPr="000344E7">
        <w:rPr>
          <w:rFonts w:ascii="Palatino Linotype" w:hAnsi="Palatino Linotype"/>
          <w:color w:val="000000" w:themeColor="text1"/>
          <w:sz w:val="20"/>
          <w:szCs w:val="20"/>
        </w:rPr>
        <w:t>JVTC</w:t>
      </w:r>
    </w:p>
    <w:sectPr w:rsidR="00664F83" w:rsidRPr="000344E7" w:rsidSect="00AD4277">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EF" w:rsidRDefault="009D14EF" w:rsidP="00DC559A">
      <w:pPr>
        <w:spacing w:after="0" w:line="240" w:lineRule="auto"/>
      </w:pPr>
      <w:r>
        <w:separator/>
      </w:r>
    </w:p>
  </w:endnote>
  <w:endnote w:type="continuationSeparator" w:id="0">
    <w:p w:rsidR="009D14EF" w:rsidRDefault="009D14EF"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rPr>
      <w:id w:val="32855158"/>
      <w:docPartObj>
        <w:docPartGallery w:val="Page Numbers (Bottom of Page)"/>
        <w:docPartUnique/>
      </w:docPartObj>
    </w:sdtPr>
    <w:sdtEndPr>
      <w:rPr>
        <w:rFonts w:asciiTheme="minorHAnsi" w:hAnsiTheme="minorHAnsi"/>
        <w:sz w:val="22"/>
      </w:rPr>
    </w:sdtEndPr>
    <w:sdtContent>
      <w:sdt>
        <w:sdtPr>
          <w:rPr>
            <w:rFonts w:ascii="Palatino Linotype" w:hAnsi="Palatino Linotype"/>
            <w:sz w:val="20"/>
          </w:rPr>
          <w:id w:val="-1769616900"/>
          <w:docPartObj>
            <w:docPartGallery w:val="Page Numbers (Top of Page)"/>
            <w:docPartUnique/>
          </w:docPartObj>
        </w:sdtPr>
        <w:sdtEndPr>
          <w:rPr>
            <w:rFonts w:asciiTheme="minorHAnsi" w:hAnsiTheme="minorHAnsi"/>
            <w:sz w:val="22"/>
          </w:rPr>
        </w:sdtEndPr>
        <w:sdtContent>
          <w:p w:rsidR="00D62D08" w:rsidRDefault="00D62D08">
            <w:pPr>
              <w:pStyle w:val="Piedepgina"/>
              <w:jc w:val="right"/>
            </w:pPr>
            <w:r w:rsidRPr="007428B3">
              <w:rPr>
                <w:rFonts w:ascii="Palatino Linotype" w:hAnsi="Palatino Linotype"/>
                <w:sz w:val="20"/>
                <w:lang w:val="es-ES"/>
              </w:rPr>
              <w:t xml:space="preserve">Página </w:t>
            </w:r>
            <w:r w:rsidRPr="007428B3">
              <w:rPr>
                <w:rFonts w:ascii="Palatino Linotype" w:hAnsi="Palatino Linotype"/>
                <w:b/>
                <w:bCs/>
                <w:szCs w:val="24"/>
              </w:rPr>
              <w:fldChar w:fldCharType="begin"/>
            </w:r>
            <w:r w:rsidRPr="007428B3">
              <w:rPr>
                <w:rFonts w:ascii="Palatino Linotype" w:hAnsi="Palatino Linotype"/>
                <w:b/>
                <w:bCs/>
                <w:sz w:val="20"/>
              </w:rPr>
              <w:instrText>PAGE</w:instrText>
            </w:r>
            <w:r w:rsidRPr="007428B3">
              <w:rPr>
                <w:rFonts w:ascii="Palatino Linotype" w:hAnsi="Palatino Linotype"/>
                <w:b/>
                <w:bCs/>
                <w:szCs w:val="24"/>
              </w:rPr>
              <w:fldChar w:fldCharType="separate"/>
            </w:r>
            <w:r w:rsidR="00D654AF">
              <w:rPr>
                <w:rFonts w:ascii="Palatino Linotype" w:hAnsi="Palatino Linotype"/>
                <w:b/>
                <w:bCs/>
                <w:noProof/>
                <w:sz w:val="20"/>
              </w:rPr>
              <w:t>2</w:t>
            </w:r>
            <w:r w:rsidRPr="007428B3">
              <w:rPr>
                <w:rFonts w:ascii="Palatino Linotype" w:hAnsi="Palatino Linotype"/>
                <w:b/>
                <w:bCs/>
                <w:szCs w:val="24"/>
              </w:rPr>
              <w:fldChar w:fldCharType="end"/>
            </w:r>
            <w:r w:rsidRPr="007428B3">
              <w:rPr>
                <w:rFonts w:ascii="Palatino Linotype" w:hAnsi="Palatino Linotype"/>
                <w:sz w:val="20"/>
                <w:lang w:val="es-ES"/>
              </w:rPr>
              <w:t xml:space="preserve"> de </w:t>
            </w:r>
            <w:r w:rsidRPr="007428B3">
              <w:rPr>
                <w:rFonts w:ascii="Palatino Linotype" w:hAnsi="Palatino Linotype"/>
                <w:b/>
                <w:bCs/>
                <w:szCs w:val="24"/>
              </w:rPr>
              <w:fldChar w:fldCharType="begin"/>
            </w:r>
            <w:r w:rsidRPr="007428B3">
              <w:rPr>
                <w:rFonts w:ascii="Palatino Linotype" w:hAnsi="Palatino Linotype"/>
                <w:b/>
                <w:bCs/>
                <w:sz w:val="20"/>
              </w:rPr>
              <w:instrText>NUMPAGES</w:instrText>
            </w:r>
            <w:r w:rsidRPr="007428B3">
              <w:rPr>
                <w:rFonts w:ascii="Palatino Linotype" w:hAnsi="Palatino Linotype"/>
                <w:b/>
                <w:bCs/>
                <w:szCs w:val="24"/>
              </w:rPr>
              <w:fldChar w:fldCharType="separate"/>
            </w:r>
            <w:r w:rsidR="00D654AF">
              <w:rPr>
                <w:rFonts w:ascii="Palatino Linotype" w:hAnsi="Palatino Linotype"/>
                <w:b/>
                <w:bCs/>
                <w:noProof/>
                <w:sz w:val="20"/>
              </w:rPr>
              <w:t>10</w:t>
            </w:r>
            <w:r w:rsidRPr="007428B3">
              <w:rPr>
                <w:rFonts w:ascii="Palatino Linotype" w:hAnsi="Palatino Linotype"/>
                <w:b/>
                <w:bCs/>
                <w:szCs w:val="24"/>
              </w:rPr>
              <w:fldChar w:fldCharType="end"/>
            </w:r>
          </w:p>
        </w:sdtContent>
      </w:sdt>
    </w:sdtContent>
  </w:sdt>
  <w:p w:rsidR="00D62D08" w:rsidRDefault="00D62D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EF" w:rsidRDefault="009D14EF" w:rsidP="00DC559A">
      <w:pPr>
        <w:spacing w:after="0" w:line="240" w:lineRule="auto"/>
      </w:pPr>
      <w:r>
        <w:separator/>
      </w:r>
    </w:p>
  </w:footnote>
  <w:footnote w:type="continuationSeparator" w:id="0">
    <w:p w:rsidR="009D14EF" w:rsidRDefault="009D14EF" w:rsidP="00DC559A">
      <w:pPr>
        <w:spacing w:after="0" w:line="240" w:lineRule="auto"/>
      </w:pPr>
      <w:r>
        <w:continuationSeparator/>
      </w:r>
    </w:p>
  </w:footnote>
  <w:footnote w:id="1">
    <w:p w:rsidR="00BA6377" w:rsidRDefault="00BA6377" w:rsidP="00BA6377">
      <w:pPr>
        <w:pStyle w:val="Textonotapie"/>
      </w:pPr>
      <w:r>
        <w:rPr>
          <w:rStyle w:val="Refdenotaalpie"/>
        </w:rPr>
        <w:footnoteRef/>
      </w:r>
      <w:r>
        <w:t xml:space="preserve"> Comisión Nacional de Derechos Humanos, Hostigamiento Sexual y Acoso Sexual. 2017. México. 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D654A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7" o:spid="_x0000_s2049" type="#_x0000_t136" style="position:absolute;margin-left:0;margin-top:0;width:566.4pt;height:56.6pt;rotation:315;z-index:-251659264;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D654A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8" o:spid="_x0000_s2050" type="#_x0000_t136" style="position:absolute;margin-left:0;margin-top:0;width:566.4pt;height:56.6pt;rotation:315;z-index:-251658240;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D62D08" w:rsidRPr="007428B3" w:rsidRDefault="00D62D08">
    <w:pPr>
      <w:pStyle w:val="Encabezado"/>
      <w:rPr>
        <w:rFonts w:ascii="Palatino Linotype" w:hAnsi="Palatino Linotype"/>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D654A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6" o:spid="_x0000_s2051" type="#_x0000_t136" style="position:absolute;margin-left:0;margin-top:0;width:566.4pt;height:56.6pt;rotation:315;z-index:-251657216;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353"/>
    <w:multiLevelType w:val="hybridMultilevel"/>
    <w:tmpl w:val="2FAC3B02"/>
    <w:lvl w:ilvl="0" w:tplc="1846940C">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9C5D00"/>
    <w:multiLevelType w:val="hybridMultilevel"/>
    <w:tmpl w:val="111EFD6E"/>
    <w:lvl w:ilvl="0" w:tplc="4370AA74">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91449CC"/>
    <w:multiLevelType w:val="hybridMultilevel"/>
    <w:tmpl w:val="994A13C6"/>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725E60"/>
    <w:multiLevelType w:val="hybridMultilevel"/>
    <w:tmpl w:val="C7C8FB3C"/>
    <w:lvl w:ilvl="0" w:tplc="F9E09338">
      <w:start w:val="3"/>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A723779"/>
    <w:multiLevelType w:val="hybridMultilevel"/>
    <w:tmpl w:val="B71A166E"/>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325E49"/>
    <w:multiLevelType w:val="hybridMultilevel"/>
    <w:tmpl w:val="BCAE0188"/>
    <w:lvl w:ilvl="0" w:tplc="DF4024D2">
      <w:start w:val="1"/>
      <w:numFmt w:val="lowerLetter"/>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F65299"/>
    <w:multiLevelType w:val="hybridMultilevel"/>
    <w:tmpl w:val="F2621F36"/>
    <w:lvl w:ilvl="0" w:tplc="2FCAD482">
      <w:start w:val="3"/>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C41196"/>
    <w:multiLevelType w:val="hybridMultilevel"/>
    <w:tmpl w:val="989E54C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4CB33AB"/>
    <w:multiLevelType w:val="hybridMultilevel"/>
    <w:tmpl w:val="B2C254E4"/>
    <w:lvl w:ilvl="0" w:tplc="3800BD2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1803D3"/>
    <w:multiLevelType w:val="hybridMultilevel"/>
    <w:tmpl w:val="EB4AFD7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417F5A25"/>
    <w:multiLevelType w:val="hybridMultilevel"/>
    <w:tmpl w:val="1EA02BE6"/>
    <w:lvl w:ilvl="0" w:tplc="0CAEEF92">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346C9F"/>
    <w:multiLevelType w:val="hybridMultilevel"/>
    <w:tmpl w:val="D54A2CE0"/>
    <w:lvl w:ilvl="0" w:tplc="EB862438">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nsid w:val="4FAB20D2"/>
    <w:multiLevelType w:val="hybridMultilevel"/>
    <w:tmpl w:val="B3264F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0">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6C4A92"/>
    <w:multiLevelType w:val="hybridMultilevel"/>
    <w:tmpl w:val="935E0298"/>
    <w:lvl w:ilvl="0" w:tplc="8F623C1E">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nsid w:val="6C2E003D"/>
    <w:multiLevelType w:val="hybridMultilevel"/>
    <w:tmpl w:val="91F2552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5540AE"/>
    <w:multiLevelType w:val="hybridMultilevel"/>
    <w:tmpl w:val="2914382E"/>
    <w:lvl w:ilvl="0" w:tplc="AADAED30">
      <w:start w:val="3"/>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D3902F4"/>
    <w:multiLevelType w:val="hybridMultilevel"/>
    <w:tmpl w:val="D5EC640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450952"/>
    <w:multiLevelType w:val="hybridMultilevel"/>
    <w:tmpl w:val="6186A84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0B24AB"/>
    <w:multiLevelType w:val="hybridMultilevel"/>
    <w:tmpl w:val="BBC274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16C0F63"/>
    <w:multiLevelType w:val="hybridMultilevel"/>
    <w:tmpl w:val="F942E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20B63E3"/>
    <w:multiLevelType w:val="hybridMultilevel"/>
    <w:tmpl w:val="D7380D76"/>
    <w:lvl w:ilvl="0" w:tplc="BDAC028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5E06C18"/>
    <w:multiLevelType w:val="hybridMultilevel"/>
    <w:tmpl w:val="49FCC78E"/>
    <w:lvl w:ilvl="0" w:tplc="0CAEEF92">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8A5DF2"/>
    <w:multiLevelType w:val="hybridMultilevel"/>
    <w:tmpl w:val="478E7862"/>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ED916EF"/>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2"/>
  </w:num>
  <w:num w:numId="3">
    <w:abstractNumId w:val="30"/>
  </w:num>
  <w:num w:numId="4">
    <w:abstractNumId w:val="16"/>
  </w:num>
  <w:num w:numId="5">
    <w:abstractNumId w:val="41"/>
  </w:num>
  <w:num w:numId="6">
    <w:abstractNumId w:val="17"/>
  </w:num>
  <w:num w:numId="7">
    <w:abstractNumId w:val="38"/>
  </w:num>
  <w:num w:numId="8">
    <w:abstractNumId w:val="21"/>
  </w:num>
  <w:num w:numId="9">
    <w:abstractNumId w:val="12"/>
  </w:num>
  <w:num w:numId="10">
    <w:abstractNumId w:val="34"/>
  </w:num>
  <w:num w:numId="11">
    <w:abstractNumId w:val="29"/>
  </w:num>
  <w:num w:numId="12">
    <w:abstractNumId w:val="33"/>
  </w:num>
  <w:num w:numId="13">
    <w:abstractNumId w:val="24"/>
  </w:num>
  <w:num w:numId="14">
    <w:abstractNumId w:val="4"/>
  </w:num>
  <w:num w:numId="15">
    <w:abstractNumId w:val="11"/>
  </w:num>
  <w:num w:numId="16">
    <w:abstractNumId w:val="43"/>
  </w:num>
  <w:num w:numId="17">
    <w:abstractNumId w:val="45"/>
  </w:num>
  <w:num w:numId="18">
    <w:abstractNumId w:val="32"/>
  </w:num>
  <w:num w:numId="19">
    <w:abstractNumId w:val="28"/>
  </w:num>
  <w:num w:numId="20">
    <w:abstractNumId w:val="19"/>
  </w:num>
  <w:num w:numId="21">
    <w:abstractNumId w:val="10"/>
  </w:num>
  <w:num w:numId="22">
    <w:abstractNumId w:val="14"/>
  </w:num>
  <w:num w:numId="23">
    <w:abstractNumId w:val="7"/>
  </w:num>
  <w:num w:numId="24">
    <w:abstractNumId w:val="44"/>
  </w:num>
  <w:num w:numId="25">
    <w:abstractNumId w:val="1"/>
  </w:num>
  <w:num w:numId="26">
    <w:abstractNumId w:val="37"/>
  </w:num>
  <w:num w:numId="27">
    <w:abstractNumId w:val="18"/>
  </w:num>
  <w:num w:numId="28">
    <w:abstractNumId w:val="6"/>
  </w:num>
  <w:num w:numId="29">
    <w:abstractNumId w:val="23"/>
  </w:num>
  <w:num w:numId="30">
    <w:abstractNumId w:val="39"/>
  </w:num>
  <w:num w:numId="31">
    <w:abstractNumId w:val="5"/>
  </w:num>
  <w:num w:numId="32">
    <w:abstractNumId w:val="46"/>
  </w:num>
  <w:num w:numId="33">
    <w:abstractNumId w:val="35"/>
  </w:num>
  <w:num w:numId="34">
    <w:abstractNumId w:val="27"/>
  </w:num>
  <w:num w:numId="35">
    <w:abstractNumId w:val="15"/>
  </w:num>
  <w:num w:numId="36">
    <w:abstractNumId w:val="3"/>
  </w:num>
  <w:num w:numId="37">
    <w:abstractNumId w:val="40"/>
  </w:num>
  <w:num w:numId="38">
    <w:abstractNumId w:val="13"/>
  </w:num>
  <w:num w:numId="39">
    <w:abstractNumId w:val="20"/>
  </w:num>
  <w:num w:numId="40">
    <w:abstractNumId w:val="26"/>
  </w:num>
  <w:num w:numId="41">
    <w:abstractNumId w:val="31"/>
  </w:num>
  <w:num w:numId="42">
    <w:abstractNumId w:val="9"/>
  </w:num>
  <w:num w:numId="43">
    <w:abstractNumId w:val="8"/>
  </w:num>
  <w:num w:numId="44">
    <w:abstractNumId w:val="42"/>
  </w:num>
  <w:num w:numId="45">
    <w:abstractNumId w:val="0"/>
  </w:num>
  <w:num w:numId="46">
    <w:abstractNumId w:val="3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7265"/>
    <w:rsid w:val="00010A7A"/>
    <w:rsid w:val="000255FF"/>
    <w:rsid w:val="00026199"/>
    <w:rsid w:val="0002684D"/>
    <w:rsid w:val="000344E7"/>
    <w:rsid w:val="000538F8"/>
    <w:rsid w:val="00067BC9"/>
    <w:rsid w:val="00080E3D"/>
    <w:rsid w:val="000C4F36"/>
    <w:rsid w:val="000E72BE"/>
    <w:rsid w:val="000F1029"/>
    <w:rsid w:val="000F4071"/>
    <w:rsid w:val="000F68BB"/>
    <w:rsid w:val="00103DBC"/>
    <w:rsid w:val="00116728"/>
    <w:rsid w:val="00116E98"/>
    <w:rsid w:val="00137177"/>
    <w:rsid w:val="00142D5E"/>
    <w:rsid w:val="0014513D"/>
    <w:rsid w:val="00196806"/>
    <w:rsid w:val="001A350E"/>
    <w:rsid w:val="001C572F"/>
    <w:rsid w:val="001C7385"/>
    <w:rsid w:val="001D585E"/>
    <w:rsid w:val="001E041A"/>
    <w:rsid w:val="001F22E8"/>
    <w:rsid w:val="00216608"/>
    <w:rsid w:val="00233DEC"/>
    <w:rsid w:val="00254E07"/>
    <w:rsid w:val="00275773"/>
    <w:rsid w:val="00294356"/>
    <w:rsid w:val="002948E5"/>
    <w:rsid w:val="002B5171"/>
    <w:rsid w:val="002E53BC"/>
    <w:rsid w:val="002F21B3"/>
    <w:rsid w:val="002F4E20"/>
    <w:rsid w:val="00321D82"/>
    <w:rsid w:val="0032572C"/>
    <w:rsid w:val="003319F8"/>
    <w:rsid w:val="0034151E"/>
    <w:rsid w:val="00345562"/>
    <w:rsid w:val="00354FF8"/>
    <w:rsid w:val="0035555A"/>
    <w:rsid w:val="00381DDA"/>
    <w:rsid w:val="0038702C"/>
    <w:rsid w:val="00394FC1"/>
    <w:rsid w:val="003C7C6B"/>
    <w:rsid w:val="003D1315"/>
    <w:rsid w:val="003D3B5C"/>
    <w:rsid w:val="003D62CE"/>
    <w:rsid w:val="003F1C1E"/>
    <w:rsid w:val="003F605C"/>
    <w:rsid w:val="00417695"/>
    <w:rsid w:val="004223F0"/>
    <w:rsid w:val="004366D0"/>
    <w:rsid w:val="00467D7C"/>
    <w:rsid w:val="00486D45"/>
    <w:rsid w:val="004A69D6"/>
    <w:rsid w:val="004A7E07"/>
    <w:rsid w:val="004C224A"/>
    <w:rsid w:val="004C73FB"/>
    <w:rsid w:val="00506287"/>
    <w:rsid w:val="00516B40"/>
    <w:rsid w:val="00523508"/>
    <w:rsid w:val="0058108A"/>
    <w:rsid w:val="00585BED"/>
    <w:rsid w:val="005B1011"/>
    <w:rsid w:val="005B563A"/>
    <w:rsid w:val="005D0B8C"/>
    <w:rsid w:val="005D2317"/>
    <w:rsid w:val="005F5D83"/>
    <w:rsid w:val="005F738A"/>
    <w:rsid w:val="00610DE4"/>
    <w:rsid w:val="00612178"/>
    <w:rsid w:val="00646525"/>
    <w:rsid w:val="00651031"/>
    <w:rsid w:val="00664F83"/>
    <w:rsid w:val="00680707"/>
    <w:rsid w:val="006A2AF7"/>
    <w:rsid w:val="006A47A3"/>
    <w:rsid w:val="006C7057"/>
    <w:rsid w:val="006D5203"/>
    <w:rsid w:val="006E1990"/>
    <w:rsid w:val="006E7A8B"/>
    <w:rsid w:val="007040A4"/>
    <w:rsid w:val="0071204D"/>
    <w:rsid w:val="00712510"/>
    <w:rsid w:val="007428B3"/>
    <w:rsid w:val="00752D72"/>
    <w:rsid w:val="007568D4"/>
    <w:rsid w:val="00774B2D"/>
    <w:rsid w:val="007771A5"/>
    <w:rsid w:val="007D5A9C"/>
    <w:rsid w:val="007D5C51"/>
    <w:rsid w:val="007E2587"/>
    <w:rsid w:val="007E2B38"/>
    <w:rsid w:val="007F104B"/>
    <w:rsid w:val="00807E6D"/>
    <w:rsid w:val="00812CE6"/>
    <w:rsid w:val="00836F58"/>
    <w:rsid w:val="00846DEB"/>
    <w:rsid w:val="00852A70"/>
    <w:rsid w:val="00882446"/>
    <w:rsid w:val="00892C1A"/>
    <w:rsid w:val="008A69CD"/>
    <w:rsid w:val="008B7B36"/>
    <w:rsid w:val="00904DB2"/>
    <w:rsid w:val="00934600"/>
    <w:rsid w:val="00942137"/>
    <w:rsid w:val="00942A1D"/>
    <w:rsid w:val="009469AC"/>
    <w:rsid w:val="00950DD3"/>
    <w:rsid w:val="00964B55"/>
    <w:rsid w:val="00966C69"/>
    <w:rsid w:val="00976E4F"/>
    <w:rsid w:val="00992F9E"/>
    <w:rsid w:val="009A28D2"/>
    <w:rsid w:val="009B6AAE"/>
    <w:rsid w:val="009D14EF"/>
    <w:rsid w:val="009D37EA"/>
    <w:rsid w:val="00A11153"/>
    <w:rsid w:val="00A23FC2"/>
    <w:rsid w:val="00A4060C"/>
    <w:rsid w:val="00A44948"/>
    <w:rsid w:val="00A50DC3"/>
    <w:rsid w:val="00A64C70"/>
    <w:rsid w:val="00A72E20"/>
    <w:rsid w:val="00A947EF"/>
    <w:rsid w:val="00AA45BE"/>
    <w:rsid w:val="00AB4CBD"/>
    <w:rsid w:val="00AC07BB"/>
    <w:rsid w:val="00AC7C5A"/>
    <w:rsid w:val="00AD4277"/>
    <w:rsid w:val="00AF28B3"/>
    <w:rsid w:val="00AF4C4C"/>
    <w:rsid w:val="00AF7A00"/>
    <w:rsid w:val="00B031C5"/>
    <w:rsid w:val="00B0386B"/>
    <w:rsid w:val="00B03A5A"/>
    <w:rsid w:val="00B164B3"/>
    <w:rsid w:val="00B17B9D"/>
    <w:rsid w:val="00B43601"/>
    <w:rsid w:val="00B4479E"/>
    <w:rsid w:val="00B617C4"/>
    <w:rsid w:val="00B648EF"/>
    <w:rsid w:val="00B72BF7"/>
    <w:rsid w:val="00B74471"/>
    <w:rsid w:val="00B87BFE"/>
    <w:rsid w:val="00B9066B"/>
    <w:rsid w:val="00BA6377"/>
    <w:rsid w:val="00BC5FB0"/>
    <w:rsid w:val="00BD4B87"/>
    <w:rsid w:val="00BD586B"/>
    <w:rsid w:val="00BE421D"/>
    <w:rsid w:val="00C10C05"/>
    <w:rsid w:val="00C230CB"/>
    <w:rsid w:val="00C260F7"/>
    <w:rsid w:val="00C805A0"/>
    <w:rsid w:val="00C951A4"/>
    <w:rsid w:val="00CD5D3B"/>
    <w:rsid w:val="00CD77B9"/>
    <w:rsid w:val="00CF1A11"/>
    <w:rsid w:val="00CF1A9B"/>
    <w:rsid w:val="00CF4234"/>
    <w:rsid w:val="00D0304D"/>
    <w:rsid w:val="00D12E53"/>
    <w:rsid w:val="00D312E7"/>
    <w:rsid w:val="00D31E87"/>
    <w:rsid w:val="00D33500"/>
    <w:rsid w:val="00D4328A"/>
    <w:rsid w:val="00D62D08"/>
    <w:rsid w:val="00D636BE"/>
    <w:rsid w:val="00D654AF"/>
    <w:rsid w:val="00D7491C"/>
    <w:rsid w:val="00D75A73"/>
    <w:rsid w:val="00DC559A"/>
    <w:rsid w:val="00DC7F66"/>
    <w:rsid w:val="00E2215E"/>
    <w:rsid w:val="00E27B40"/>
    <w:rsid w:val="00E3317B"/>
    <w:rsid w:val="00E432FE"/>
    <w:rsid w:val="00E52153"/>
    <w:rsid w:val="00E6266F"/>
    <w:rsid w:val="00E73250"/>
    <w:rsid w:val="00E8678E"/>
    <w:rsid w:val="00E940EB"/>
    <w:rsid w:val="00E96644"/>
    <w:rsid w:val="00E974FA"/>
    <w:rsid w:val="00EA562E"/>
    <w:rsid w:val="00EC124F"/>
    <w:rsid w:val="00F072D4"/>
    <w:rsid w:val="00F251C2"/>
    <w:rsid w:val="00F35A79"/>
    <w:rsid w:val="00F81714"/>
    <w:rsid w:val="00FB53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E87"/>
  </w:style>
  <w:style w:type="paragraph" w:styleId="Ttulo1">
    <w:name w:val="heading 1"/>
    <w:basedOn w:val="Normal"/>
    <w:next w:val="Normal"/>
    <w:link w:val="Ttulo1Car"/>
    <w:uiPriority w:val="9"/>
    <w:qFormat/>
    <w:rsid w:val="00C23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F251C2"/>
    <w:pPr>
      <w:tabs>
        <w:tab w:val="left" w:pos="660"/>
        <w:tab w:val="right" w:leader="dot" w:pos="8828"/>
      </w:tabs>
      <w:spacing w:after="100"/>
      <w:ind w:left="426" w:hanging="426"/>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D31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D31E87"/>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D31E87"/>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D31E8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nguno">
    <w:name w:val="Ninguno"/>
    <w:rsid w:val="0071204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A74C7-BD76-4533-A111-6BC150E7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2201</Words>
  <Characters>12107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2</cp:revision>
  <cp:lastPrinted>2018-09-17T14:21:00Z</cp:lastPrinted>
  <dcterms:created xsi:type="dcterms:W3CDTF">2018-10-29T17:39:00Z</dcterms:created>
  <dcterms:modified xsi:type="dcterms:W3CDTF">2018-10-29T17:39:00Z</dcterms:modified>
</cp:coreProperties>
</file>